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吉林艺术学院</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制定2019版本科人才培养方案指导意见</w:t>
      </w:r>
    </w:p>
    <w:p>
      <w:pPr>
        <w:spacing w:line="600" w:lineRule="exact"/>
        <w:jc w:val="center"/>
        <w:rPr>
          <w:sz w:val="36"/>
          <w:szCs w:val="36"/>
        </w:rPr>
      </w:pPr>
      <w:r>
        <w:rPr>
          <w:rFonts w:hint="eastAsia" w:ascii="仿宋_GB2312" w:hAnsi="Times New Roman" w:eastAsia="仿宋_GB2312" w:cs="仿宋_GB2312"/>
          <w:sz w:val="30"/>
          <w:szCs w:val="24"/>
        </w:rPr>
        <w:t>吉艺发</w:t>
      </w:r>
      <w:r>
        <w:rPr>
          <w:rFonts w:hint="eastAsia" w:ascii="仿宋" w:hAnsi="仿宋" w:eastAsia="仿宋" w:cs="仿宋_GB2312"/>
          <w:sz w:val="30"/>
          <w:szCs w:val="24"/>
        </w:rPr>
        <w:t>〔</w:t>
      </w:r>
      <w:r>
        <w:rPr>
          <w:rFonts w:hint="eastAsia" w:ascii="仿宋_GB2312" w:hAnsi="Times New Roman" w:eastAsia="仿宋_GB2312" w:cs="仿宋_GB2312"/>
          <w:sz w:val="30"/>
          <w:szCs w:val="24"/>
        </w:rPr>
        <w:t>2019</w:t>
      </w:r>
      <w:r>
        <w:rPr>
          <w:rFonts w:hint="eastAsia" w:ascii="仿宋" w:hAnsi="仿宋" w:eastAsia="仿宋" w:cs="仿宋_GB2312"/>
          <w:sz w:val="30"/>
          <w:szCs w:val="24"/>
        </w:rPr>
        <w:t>〕</w:t>
      </w:r>
      <w:r>
        <w:rPr>
          <w:rFonts w:hint="eastAsia" w:ascii="仿宋_GB2312" w:hAnsi="Times New Roman" w:eastAsia="仿宋_GB2312" w:cs="仿宋_GB2312"/>
          <w:sz w:val="30"/>
          <w:szCs w:val="24"/>
        </w:rPr>
        <w:t>51号</w:t>
      </w:r>
    </w:p>
    <w:p>
      <w:pPr>
        <w:widowControl/>
        <w:spacing w:beforeAutospacing="1" w:line="600" w:lineRule="exact"/>
        <w:ind w:firstLine="640" w:firstLineChars="200"/>
        <w:jc w:val="left"/>
        <w:rPr>
          <w:rFonts w:hint="eastAsia" w:ascii="仿宋" w:hAnsi="仿宋" w:eastAsia="仿宋" w:cs="Times New Roman"/>
          <w:kern w:val="0"/>
          <w:sz w:val="32"/>
          <w:szCs w:val="32"/>
        </w:rPr>
      </w:pPr>
      <w:r>
        <w:rPr>
          <w:rFonts w:hint="eastAsia" w:ascii="仿宋" w:hAnsi="仿宋" w:eastAsia="仿宋" w:cs="宋体"/>
          <w:kern w:val="0"/>
          <w:sz w:val="32"/>
          <w:szCs w:val="32"/>
        </w:rPr>
        <w:t>为全面落实党的十九大有关加快高等教育内涵建设的总体部署，根据《国家中长期教育改革和发展规划纲要（2010—2020年）》《教育部关于全面提高高等教育质量的若干意见（2012年）》《国务院办公厅关于深化高等学校创新创业教育改革的实施意见》（国办发〔2015〕36号）、《国务院关于印发统筹推进世界一流大学和一流学科建设总体方案的通知》（国发〔2015〕64号）、《普通高等学校本科专业类教学质量国家标准（2018年）》（以下简称“《国标》”）、《教育部关于加快建设高水平本科教育 全面提高人才培养能力的意见》（教高〔2018〕2号）、《教育部关于深化本科教育教学改革全面提高人才培养质量的意见》（教高〔2019〕6号）、《吉林省中长期教育改革和发展规划纲要（2010-2020年）》《中共吉林省委吉林省人民政府关于建设高等教育强省的意见》等文件精神，结合国家文化强国战略和地方经济社会文化发展对于艺术</w:t>
      </w:r>
      <w:r>
        <w:rPr>
          <w:rFonts w:hint="eastAsia" w:ascii="仿宋" w:hAnsi="仿宋" w:eastAsia="仿宋" w:cs="Times New Roman"/>
          <w:kern w:val="0"/>
          <w:sz w:val="32"/>
          <w:szCs w:val="32"/>
        </w:rPr>
        <w:t>类人才的新要求</w:t>
      </w:r>
      <w:r>
        <w:rPr>
          <w:rFonts w:hint="eastAsia" w:ascii="仿宋" w:hAnsi="仿宋" w:eastAsia="仿宋" w:cs="宋体"/>
          <w:kern w:val="0"/>
          <w:sz w:val="32"/>
          <w:szCs w:val="32"/>
        </w:rPr>
        <w:t>，结合我校“十三五”教育发展规划，坚持稳中求进总基调，深化学校教育教学改革，实现我校“面向世界，国内一流，特色鲜明，充满生机活力的高水平艺术大学”的建设规划；秉承“培养人才的摇篮，传承文明的基地，艺术创新的源泉，引导审美的窗口”的办学定位；立足应用型高水平大学培养模式，使本科生四年培养过程进一步契合“培养基本功扎实、艺术个性鲜明、综合艺术素养较高、知识面较宽、具有较强创新和实践能力德智体美全面发展的高级专门人才”的人才培养目标。为充分发挥培养方案在本科人才培养工作中的指导和纲领作用，学校决定启动2019版本科专业（方向）人才培养方案制定工作，为确保人才培养方案的科学性、合理性、稳定性和连贯性，在广泛调研论证的基础上，提出如下指导意见。</w:t>
      </w:r>
    </w:p>
    <w:p>
      <w:pPr>
        <w:spacing w:line="600" w:lineRule="exact"/>
        <w:ind w:firstLine="627" w:firstLineChars="196"/>
        <w:jc w:val="left"/>
        <w:rPr>
          <w:rFonts w:hint="eastAsia" w:ascii="黑体" w:hAnsi="黑体" w:eastAsia="黑体"/>
          <w:sz w:val="32"/>
          <w:szCs w:val="32"/>
        </w:rPr>
      </w:pPr>
      <w:r>
        <w:rPr>
          <w:rFonts w:hint="eastAsia" w:ascii="黑体" w:hAnsi="黑体" w:eastAsia="黑体"/>
          <w:sz w:val="32"/>
          <w:szCs w:val="32"/>
        </w:rPr>
        <w:t>一、指导思想</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以习近平新时代中国特色社会主义思想为指导，深入贯彻党的十九大精神，全面落实全国、全省教育大会及全国高校思想政治理论课教师座谈会等精神，深入融合习近平新时代中国特色社会主义核心价值观，遵循高等教育发展规律，坚持立德树人为本导向，突出价值引领，明确育人目标，把促进人的全面发展和适应社会需要作为衡量人才培养水平的根本标准。强化人才培养目标与国家和区域经济社会发展需求的适应度，契合吉林省打造长白山地域文化发展战略，发挥综合艺术类院校的办学优势和特色，既满足专业艺术领域对创新型艺术人才的需求，又满足基层单位对基础性艺术人才的需要。强化专业能力和创新创业能力培养，构建与培养目标相适应的课程体系和实践教学体系。优化人才培养过程，提高人才培养质量，优化教学内容和方法，在全面提高学生综合素质的基础上，培养具有社会责任感、创新创业精神和实践能力的个性化、多样化的应用型创新人才。</w:t>
      </w:r>
    </w:p>
    <w:p>
      <w:pPr>
        <w:spacing w:line="600" w:lineRule="exact"/>
        <w:ind w:firstLine="627" w:firstLineChars="196"/>
        <w:jc w:val="left"/>
        <w:rPr>
          <w:rFonts w:hint="eastAsia" w:ascii="黑体" w:hAnsi="黑体" w:eastAsia="黑体"/>
          <w:sz w:val="32"/>
          <w:szCs w:val="32"/>
        </w:rPr>
      </w:pPr>
      <w:r>
        <w:rPr>
          <w:rFonts w:hint="eastAsia" w:ascii="黑体" w:hAnsi="黑体" w:eastAsia="黑体"/>
          <w:sz w:val="32"/>
          <w:szCs w:val="32"/>
        </w:rPr>
        <w:t>二、修订原则与要求</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本次人才培养方案的制定要以《普通高等学校本科专业类教学质量国家标准（2018版）》（以下简称《国标》）为根本。以其中的专业概述、适用范围、培养目标、培养规格、课程体系、质量管理、名词释义等八大方面为具体规范，要符合其各项基础指标。本人才培养方案对2019级——2023级学生适用。</w:t>
      </w:r>
    </w:p>
    <w:p>
      <w:pPr>
        <w:spacing w:line="600" w:lineRule="exact"/>
        <w:ind w:firstLine="640" w:firstLineChars="200"/>
        <w:rPr>
          <w:rFonts w:ascii="楷体" w:hAnsi="楷体" w:eastAsia="楷体" w:cs="宋体"/>
          <w:sz w:val="32"/>
          <w:szCs w:val="32"/>
        </w:rPr>
      </w:pPr>
      <w:r>
        <w:rPr>
          <w:rFonts w:hint="eastAsia" w:ascii="楷体" w:hAnsi="楷体" w:eastAsia="楷体" w:cs="宋体"/>
          <w:sz w:val="32"/>
          <w:szCs w:val="32"/>
        </w:rPr>
        <w:t>（一）梳理专业需求，对准培养目标</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各专业（方向）</w:t>
      </w:r>
      <w:r>
        <w:rPr>
          <w:rFonts w:hint="eastAsia" w:ascii="仿宋" w:hAnsi="仿宋" w:eastAsia="仿宋" w:cs="仿宋"/>
          <w:bCs/>
          <w:sz w:val="28"/>
          <w:szCs w:val="28"/>
        </w:rPr>
        <w:t>的</w:t>
      </w:r>
      <w:r>
        <w:rPr>
          <w:rFonts w:hint="eastAsia" w:ascii="仿宋" w:hAnsi="仿宋" w:eastAsia="仿宋" w:cs="宋体"/>
          <w:sz w:val="32"/>
          <w:szCs w:val="32"/>
        </w:rPr>
        <w:t>“培养目标”应对照教育部《国标》，在专业概述、适用范围、培养目标、培养规格、课程体系、专业师资等栏目，紧紧围绕学校整体发展和人才培养根本目标定位，结合行业和区域经济、社会发展趋势，准确定位本专业（方向）的培养目标。</w:t>
      </w:r>
      <w:r>
        <w:rPr>
          <w:rFonts w:hint="eastAsia" w:ascii="仿宋" w:hAnsi="仿宋" w:eastAsia="仿宋" w:cs="仿宋"/>
          <w:bCs/>
          <w:sz w:val="28"/>
          <w:szCs w:val="28"/>
        </w:rPr>
        <w:t xml:space="preserve"> </w:t>
      </w:r>
    </w:p>
    <w:p>
      <w:pPr>
        <w:spacing w:line="600" w:lineRule="exact"/>
        <w:ind w:firstLine="640" w:firstLineChars="200"/>
        <w:rPr>
          <w:rFonts w:ascii="楷体" w:hAnsi="楷体" w:eastAsia="楷体" w:cs="宋体"/>
          <w:sz w:val="32"/>
          <w:szCs w:val="32"/>
        </w:rPr>
      </w:pPr>
      <w:r>
        <w:rPr>
          <w:rFonts w:hint="eastAsia" w:ascii="楷体" w:hAnsi="楷体" w:eastAsia="楷体" w:cs="宋体"/>
          <w:sz w:val="32"/>
          <w:szCs w:val="32"/>
        </w:rPr>
        <w:t>（二）细化培养标准，凝练专业特色</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各专业（方向）的“培养标准”要以《国标》中“培养规格”为根本，参照其对人才的素质要求、知识要求、能力要求等方面进行阐述。“培养标准”要能够支撑本专业（方向）的“培养目标”，要专业特色鲜明，能满足人才培养的需求，要凝练与彰显各专业人才培养的优势与特色。</w:t>
      </w:r>
    </w:p>
    <w:p>
      <w:pPr>
        <w:spacing w:line="600" w:lineRule="exact"/>
        <w:ind w:firstLine="640" w:firstLineChars="200"/>
        <w:rPr>
          <w:rFonts w:ascii="楷体" w:hAnsi="楷体" w:eastAsia="楷体" w:cs="宋体"/>
          <w:sz w:val="32"/>
          <w:szCs w:val="32"/>
        </w:rPr>
      </w:pPr>
      <w:r>
        <w:rPr>
          <w:rFonts w:hint="eastAsia" w:ascii="楷体" w:hAnsi="楷体" w:eastAsia="楷体" w:cs="宋体"/>
          <w:sz w:val="32"/>
          <w:szCs w:val="32"/>
        </w:rPr>
        <w:t>（三）优化课程体系，注重学科渗透</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立足经济社会发展需求和人才培养目标，优化公共课、专业基础课和专业方向课比例结构，加强课程体系整体设计，提高课程建设规划性、系统性，避免随意化、碎片化，坚决杜绝因人设课。以“系统、联系、均衡”的教育生态原则完善各专业（方向）“课程体系”。要以《国标》中“培养规格”“课程体系”为依据，按照其课程体系总体框架，及其对课程设置、实践教学、毕业环节等方面的要求合理设置课程。课程设置应与办学定位相匹配，要能够支撑专业方向的培养目标。拓宽专业面向，突出实践创新能力，优化学生知识结构，注重各学科、各专业之间的相互渗透，构建系统完整、层次分明、比例科学的课程体系。</w:t>
      </w:r>
    </w:p>
    <w:p>
      <w:pPr>
        <w:spacing w:line="600" w:lineRule="exact"/>
        <w:ind w:firstLine="640" w:firstLineChars="200"/>
        <w:rPr>
          <w:rFonts w:ascii="楷体" w:hAnsi="楷体" w:eastAsia="楷体" w:cs="宋体"/>
          <w:sz w:val="32"/>
          <w:szCs w:val="32"/>
        </w:rPr>
      </w:pPr>
      <w:r>
        <w:rPr>
          <w:rFonts w:hint="eastAsia" w:ascii="楷体" w:hAnsi="楷体" w:eastAsia="楷体" w:cs="宋体"/>
          <w:sz w:val="32"/>
          <w:szCs w:val="32"/>
        </w:rPr>
        <w:t>（四）提高综合能力，培养创新人才</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遵循教育规律，改革教学理念，在强调基本知识、基本理论和基本技能教学的基础上，应更加注重学生创新意识、创新方法和创新能力的培养。要根据各专业特点，把创新教育贯穿到整个人才培养过程。要紧贴地域文化产业发展状况，体现综合艺术类院校的特点，强化培养学生的综合素养和创新能力。</w:t>
      </w:r>
    </w:p>
    <w:p>
      <w:pPr>
        <w:spacing w:line="600" w:lineRule="exact"/>
        <w:ind w:firstLine="640" w:firstLineChars="200"/>
        <w:rPr>
          <w:rFonts w:ascii="楷体" w:hAnsi="楷体" w:eastAsia="楷体" w:cs="宋体"/>
          <w:sz w:val="32"/>
          <w:szCs w:val="32"/>
        </w:rPr>
      </w:pPr>
      <w:r>
        <w:rPr>
          <w:rFonts w:hint="eastAsia" w:ascii="楷体" w:hAnsi="楷体" w:eastAsia="楷体" w:cs="宋体"/>
          <w:sz w:val="32"/>
          <w:szCs w:val="32"/>
        </w:rPr>
        <w:t>（五）深化教学改革，加强实践教学</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加强实践教学力度，改革教学内容和方法，突出专业特色，进一步深化落实我校的“艺术类专业实践性教学体系”，通过课内实践课程和课外实践的进一步调整与完善，将实践教学理念贯穿到人才培养的全过程。</w:t>
      </w:r>
    </w:p>
    <w:p>
      <w:pPr>
        <w:spacing w:line="600" w:lineRule="exact"/>
        <w:ind w:firstLine="627" w:firstLineChars="196"/>
        <w:jc w:val="left"/>
        <w:rPr>
          <w:rFonts w:hint="eastAsia" w:ascii="黑体" w:hAnsi="黑体" w:eastAsia="黑体"/>
          <w:sz w:val="32"/>
          <w:szCs w:val="32"/>
        </w:rPr>
      </w:pPr>
      <w:r>
        <w:rPr>
          <w:rFonts w:hint="eastAsia" w:ascii="黑体" w:hAnsi="黑体" w:eastAsia="黑体"/>
          <w:sz w:val="32"/>
          <w:szCs w:val="32"/>
        </w:rPr>
        <w:t>三、课程体系结构</w:t>
      </w:r>
    </w:p>
    <w:p>
      <w:pPr>
        <w:spacing w:line="60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（一）理清课程结构，合理开设课程</w:t>
      </w:r>
    </w:p>
    <w:p>
      <w:pPr>
        <w:spacing w:before="312" w:beforeLines="100" w:line="200" w:lineRule="exact"/>
        <w:jc w:val="center"/>
        <w:rPr>
          <w:rFonts w:ascii="仿宋" w:hAnsi="仿宋" w:eastAsia="仿宋" w:cs="仿宋"/>
          <w:bCs/>
          <w:sz w:val="28"/>
          <w:szCs w:val="28"/>
        </w:rPr>
      </w:pPr>
      <w:r>
        <w:rPr>
          <w:rFonts w:hint="eastAsia" w:ascii="仿宋" w:hAnsi="仿宋" w:eastAsia="仿宋" w:cs="仿宋"/>
          <w:bCs/>
          <w:sz w:val="28"/>
          <w:szCs w:val="28"/>
        </w:rPr>
        <w:t>吉林艺术学院课程结构表</w:t>
      </w:r>
    </w:p>
    <w:tbl>
      <w:tblPr>
        <w:tblStyle w:val="7"/>
        <w:tblpPr w:leftFromText="180" w:rightFromText="180" w:vertAnchor="text" w:horzAnchor="page" w:tblpXSpec="center" w:tblpY="264"/>
        <w:tblOverlap w:val="never"/>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479"/>
        <w:gridCol w:w="1422"/>
        <w:gridCol w:w="959"/>
        <w:gridCol w:w="985"/>
        <w:gridCol w:w="930"/>
        <w:gridCol w:w="1184"/>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jc w:val="center"/>
        </w:trPr>
        <w:tc>
          <w:tcPr>
            <w:tcW w:w="1217" w:type="dxa"/>
            <w:vAlign w:val="center"/>
          </w:tcPr>
          <w:p>
            <w:pPr>
              <w:spacing w:line="360" w:lineRule="auto"/>
              <w:jc w:val="center"/>
              <w:rPr>
                <w:rFonts w:ascii="仿宋" w:hAnsi="仿宋" w:eastAsia="仿宋" w:cs="仿宋"/>
                <w:b/>
                <w:sz w:val="24"/>
                <w:szCs w:val="24"/>
              </w:rPr>
            </w:pPr>
            <w:r>
              <w:rPr>
                <w:rFonts w:hint="eastAsia" w:ascii="仿宋" w:hAnsi="仿宋" w:eastAsia="仿宋" w:cs="仿宋"/>
                <w:b/>
                <w:sz w:val="24"/>
                <w:szCs w:val="24"/>
              </w:rPr>
              <w:t>课程模块</w:t>
            </w:r>
          </w:p>
        </w:tc>
        <w:tc>
          <w:tcPr>
            <w:tcW w:w="2902" w:type="dxa"/>
            <w:gridSpan w:val="2"/>
            <w:vAlign w:val="center"/>
          </w:tcPr>
          <w:p>
            <w:pPr>
              <w:spacing w:line="360" w:lineRule="auto"/>
              <w:jc w:val="center"/>
              <w:rPr>
                <w:rFonts w:ascii="仿宋" w:hAnsi="仿宋" w:eastAsia="仿宋" w:cs="仿宋"/>
                <w:bCs/>
                <w:sz w:val="24"/>
                <w:szCs w:val="24"/>
              </w:rPr>
            </w:pPr>
            <w:r>
              <w:rPr>
                <w:rFonts w:hint="eastAsia" w:ascii="仿宋" w:hAnsi="仿宋" w:eastAsia="仿宋" w:cs="仿宋"/>
                <w:bCs/>
                <w:sz w:val="24"/>
                <w:szCs w:val="24"/>
              </w:rPr>
              <w:t>通识教育模块</w:t>
            </w:r>
          </w:p>
        </w:tc>
        <w:tc>
          <w:tcPr>
            <w:tcW w:w="5330" w:type="dxa"/>
            <w:gridSpan w:val="5"/>
            <w:vAlign w:val="center"/>
          </w:tcPr>
          <w:p>
            <w:pPr>
              <w:spacing w:line="360" w:lineRule="auto"/>
              <w:jc w:val="center"/>
              <w:rPr>
                <w:rFonts w:ascii="仿宋" w:hAnsi="仿宋" w:eastAsia="仿宋" w:cs="仿宋"/>
                <w:bCs/>
                <w:sz w:val="24"/>
                <w:szCs w:val="24"/>
              </w:rPr>
            </w:pPr>
            <w:r>
              <w:rPr>
                <w:rFonts w:hint="eastAsia" w:ascii="仿宋" w:hAnsi="仿宋" w:eastAsia="仿宋" w:cs="仿宋"/>
                <w:bCs/>
                <w:sz w:val="24"/>
                <w:szCs w:val="24"/>
              </w:rPr>
              <w:t>专业教育模块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217" w:type="dxa"/>
            <w:vAlign w:val="center"/>
          </w:tcPr>
          <w:p>
            <w:pPr>
              <w:jc w:val="center"/>
              <w:rPr>
                <w:rFonts w:ascii="仿宋" w:hAnsi="仿宋" w:eastAsia="仿宋" w:cs="仿宋"/>
                <w:b/>
                <w:sz w:val="24"/>
                <w:szCs w:val="24"/>
              </w:rPr>
            </w:pPr>
            <w:r>
              <w:rPr>
                <w:rFonts w:hint="eastAsia" w:ascii="仿宋" w:hAnsi="仿宋" w:eastAsia="仿宋" w:cs="仿宋"/>
                <w:b/>
                <w:sz w:val="24"/>
                <w:szCs w:val="24"/>
              </w:rPr>
              <w:t>课程性质</w:t>
            </w:r>
          </w:p>
        </w:tc>
        <w:tc>
          <w:tcPr>
            <w:tcW w:w="1480" w:type="dxa"/>
            <w:vAlign w:val="center"/>
          </w:tcPr>
          <w:p>
            <w:pPr>
              <w:jc w:val="center"/>
              <w:rPr>
                <w:rFonts w:ascii="仿宋" w:hAnsi="仿宋" w:eastAsia="仿宋" w:cs="仿宋"/>
                <w:bCs/>
                <w:sz w:val="24"/>
                <w:szCs w:val="24"/>
              </w:rPr>
            </w:pPr>
            <w:r>
              <w:rPr>
                <w:rFonts w:hint="eastAsia" w:ascii="仿宋" w:hAnsi="仿宋" w:eastAsia="仿宋" w:cs="仿宋"/>
                <w:bCs/>
                <w:sz w:val="24"/>
                <w:szCs w:val="24"/>
              </w:rPr>
              <w:t>公共必修课</w:t>
            </w:r>
          </w:p>
        </w:tc>
        <w:tc>
          <w:tcPr>
            <w:tcW w:w="1422" w:type="dxa"/>
            <w:vAlign w:val="center"/>
          </w:tcPr>
          <w:p>
            <w:pPr>
              <w:jc w:val="center"/>
              <w:rPr>
                <w:rFonts w:ascii="仿宋" w:hAnsi="仿宋" w:eastAsia="仿宋" w:cs="仿宋"/>
                <w:bCs/>
                <w:sz w:val="24"/>
                <w:szCs w:val="24"/>
              </w:rPr>
            </w:pPr>
            <w:r>
              <w:rPr>
                <w:rFonts w:hint="eastAsia" w:ascii="仿宋" w:hAnsi="仿宋" w:eastAsia="仿宋" w:cs="仿宋"/>
                <w:bCs/>
                <w:sz w:val="24"/>
                <w:szCs w:val="24"/>
              </w:rPr>
              <w:t>公共选修课</w:t>
            </w:r>
          </w:p>
        </w:tc>
        <w:tc>
          <w:tcPr>
            <w:tcW w:w="2872" w:type="dxa"/>
            <w:gridSpan w:val="3"/>
            <w:vAlign w:val="center"/>
          </w:tcPr>
          <w:p>
            <w:pPr>
              <w:jc w:val="center"/>
              <w:rPr>
                <w:rFonts w:ascii="仿宋" w:hAnsi="仿宋" w:eastAsia="仿宋" w:cs="仿宋"/>
                <w:bCs/>
                <w:sz w:val="24"/>
                <w:szCs w:val="24"/>
              </w:rPr>
            </w:pPr>
            <w:r>
              <w:rPr>
                <w:rFonts w:hint="eastAsia" w:ascii="仿宋" w:hAnsi="仿宋" w:eastAsia="仿宋" w:cs="仿宋"/>
                <w:bCs/>
                <w:sz w:val="24"/>
                <w:szCs w:val="24"/>
              </w:rPr>
              <w:t>专业必修课</w:t>
            </w:r>
          </w:p>
        </w:tc>
        <w:tc>
          <w:tcPr>
            <w:tcW w:w="2458" w:type="dxa"/>
            <w:gridSpan w:val="2"/>
            <w:vAlign w:val="center"/>
          </w:tcPr>
          <w:p>
            <w:pPr>
              <w:jc w:val="center"/>
              <w:rPr>
                <w:rFonts w:ascii="仿宋" w:hAnsi="仿宋" w:eastAsia="仿宋" w:cs="仿宋"/>
                <w:bCs/>
                <w:sz w:val="24"/>
                <w:szCs w:val="24"/>
              </w:rPr>
            </w:pPr>
            <w:r>
              <w:rPr>
                <w:rFonts w:hint="eastAsia" w:ascii="仿宋" w:hAnsi="仿宋" w:eastAsia="仿宋" w:cs="仿宋"/>
                <w:bCs/>
                <w:sz w:val="24"/>
                <w:szCs w:val="24"/>
              </w:rPr>
              <w:t>专业选修课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7" w:type="dxa"/>
            <w:vAlign w:val="center"/>
          </w:tcPr>
          <w:p>
            <w:pPr>
              <w:jc w:val="center"/>
              <w:rPr>
                <w:rFonts w:ascii="仿宋" w:hAnsi="仿宋" w:eastAsia="仿宋" w:cs="仿宋"/>
                <w:b/>
                <w:sz w:val="24"/>
                <w:szCs w:val="24"/>
              </w:rPr>
            </w:pPr>
            <w:r>
              <w:rPr>
                <w:rFonts w:hint="eastAsia" w:ascii="仿宋" w:hAnsi="仿宋" w:eastAsia="仿宋" w:cs="仿宋"/>
                <w:b/>
                <w:sz w:val="24"/>
                <w:szCs w:val="24"/>
              </w:rPr>
              <w:t>课程类别</w:t>
            </w:r>
          </w:p>
        </w:tc>
        <w:tc>
          <w:tcPr>
            <w:tcW w:w="1480" w:type="dxa"/>
            <w:vAlign w:val="center"/>
          </w:tcPr>
          <w:p>
            <w:pPr>
              <w:jc w:val="center"/>
              <w:rPr>
                <w:rFonts w:ascii="仿宋" w:hAnsi="仿宋" w:eastAsia="仿宋" w:cs="仿宋"/>
                <w:bCs/>
                <w:sz w:val="24"/>
                <w:szCs w:val="24"/>
              </w:rPr>
            </w:pPr>
            <w:r>
              <w:rPr>
                <w:rFonts w:hint="eastAsia" w:ascii="仿宋" w:hAnsi="仿宋" w:eastAsia="仿宋" w:cs="仿宋"/>
                <w:bCs/>
                <w:sz w:val="24"/>
                <w:szCs w:val="24"/>
              </w:rPr>
              <w:t>通识级公共必修课</w:t>
            </w:r>
          </w:p>
        </w:tc>
        <w:tc>
          <w:tcPr>
            <w:tcW w:w="1420" w:type="dxa"/>
            <w:vAlign w:val="center"/>
          </w:tcPr>
          <w:p>
            <w:pPr>
              <w:jc w:val="center"/>
              <w:rPr>
                <w:rFonts w:ascii="仿宋" w:hAnsi="仿宋" w:eastAsia="仿宋" w:cs="仿宋"/>
                <w:bCs/>
                <w:sz w:val="24"/>
                <w:szCs w:val="24"/>
              </w:rPr>
            </w:pPr>
            <w:r>
              <w:rPr>
                <w:rFonts w:hint="eastAsia" w:ascii="仿宋" w:hAnsi="仿宋" w:eastAsia="仿宋" w:cs="仿宋"/>
                <w:bCs/>
                <w:sz w:val="24"/>
                <w:szCs w:val="24"/>
              </w:rPr>
              <w:t>通识级公共选修课</w:t>
            </w:r>
          </w:p>
        </w:tc>
        <w:tc>
          <w:tcPr>
            <w:tcW w:w="959" w:type="dxa"/>
            <w:vAlign w:val="center"/>
          </w:tcPr>
          <w:p>
            <w:pPr>
              <w:jc w:val="center"/>
              <w:rPr>
                <w:rFonts w:ascii="仿宋" w:hAnsi="仿宋" w:eastAsia="仿宋" w:cs="仿宋"/>
                <w:bCs/>
                <w:sz w:val="24"/>
                <w:szCs w:val="24"/>
              </w:rPr>
            </w:pPr>
            <w:r>
              <w:rPr>
                <w:rFonts w:hint="eastAsia" w:ascii="仿宋" w:hAnsi="仿宋" w:eastAsia="仿宋" w:cs="仿宋"/>
                <w:bCs/>
                <w:sz w:val="24"/>
                <w:szCs w:val="24"/>
              </w:rPr>
              <w:t>专业</w:t>
            </w:r>
          </w:p>
          <w:p>
            <w:pPr>
              <w:jc w:val="center"/>
              <w:rPr>
                <w:rFonts w:ascii="仿宋" w:hAnsi="仿宋" w:eastAsia="仿宋" w:cs="仿宋"/>
                <w:bCs/>
                <w:sz w:val="24"/>
                <w:szCs w:val="24"/>
              </w:rPr>
            </w:pPr>
            <w:r>
              <w:rPr>
                <w:rFonts w:hint="eastAsia" w:ascii="仿宋" w:hAnsi="仿宋" w:eastAsia="仿宋" w:cs="仿宋"/>
                <w:bCs/>
                <w:sz w:val="24"/>
                <w:szCs w:val="24"/>
              </w:rPr>
              <w:t>基础课</w:t>
            </w:r>
          </w:p>
        </w:tc>
        <w:tc>
          <w:tcPr>
            <w:tcW w:w="985" w:type="dxa"/>
            <w:vAlign w:val="center"/>
          </w:tcPr>
          <w:p>
            <w:pPr>
              <w:jc w:val="center"/>
              <w:rPr>
                <w:rFonts w:ascii="仿宋" w:hAnsi="仿宋" w:eastAsia="仿宋" w:cs="仿宋"/>
                <w:bCs/>
                <w:sz w:val="24"/>
                <w:szCs w:val="24"/>
              </w:rPr>
            </w:pPr>
            <w:r>
              <w:rPr>
                <w:rFonts w:hint="eastAsia" w:ascii="仿宋" w:hAnsi="仿宋" w:eastAsia="仿宋" w:cs="仿宋"/>
                <w:bCs/>
                <w:sz w:val="24"/>
                <w:szCs w:val="24"/>
              </w:rPr>
              <w:t>专业</w:t>
            </w:r>
          </w:p>
          <w:p>
            <w:pPr>
              <w:jc w:val="center"/>
              <w:rPr>
                <w:rFonts w:ascii="仿宋" w:hAnsi="仿宋" w:eastAsia="仿宋" w:cs="仿宋"/>
                <w:bCs/>
                <w:sz w:val="24"/>
                <w:szCs w:val="24"/>
              </w:rPr>
            </w:pPr>
            <w:r>
              <w:rPr>
                <w:rFonts w:hint="eastAsia" w:ascii="仿宋" w:hAnsi="仿宋" w:eastAsia="仿宋" w:cs="仿宋"/>
                <w:bCs/>
                <w:sz w:val="24"/>
                <w:szCs w:val="24"/>
              </w:rPr>
              <w:t>方向课</w:t>
            </w:r>
          </w:p>
        </w:tc>
        <w:tc>
          <w:tcPr>
            <w:tcW w:w="930" w:type="dxa"/>
            <w:vAlign w:val="center"/>
          </w:tcPr>
          <w:p>
            <w:pPr>
              <w:jc w:val="center"/>
              <w:rPr>
                <w:rFonts w:ascii="仿宋" w:hAnsi="仿宋" w:eastAsia="仿宋" w:cs="仿宋"/>
                <w:bCs/>
                <w:sz w:val="24"/>
                <w:szCs w:val="24"/>
              </w:rPr>
            </w:pPr>
            <w:r>
              <w:rPr>
                <w:rFonts w:hint="eastAsia" w:ascii="仿宋" w:hAnsi="仿宋" w:eastAsia="仿宋" w:cs="仿宋"/>
                <w:bCs/>
                <w:sz w:val="24"/>
                <w:szCs w:val="24"/>
              </w:rPr>
              <w:t>艺术实践</w:t>
            </w:r>
          </w:p>
        </w:tc>
        <w:tc>
          <w:tcPr>
            <w:tcW w:w="1184" w:type="dxa"/>
            <w:vAlign w:val="center"/>
          </w:tcPr>
          <w:p>
            <w:pPr>
              <w:jc w:val="center"/>
              <w:rPr>
                <w:rFonts w:ascii="仿宋" w:hAnsi="仿宋" w:eastAsia="仿宋" w:cs="仿宋"/>
                <w:bCs/>
                <w:sz w:val="24"/>
                <w:szCs w:val="24"/>
              </w:rPr>
            </w:pPr>
            <w:r>
              <w:rPr>
                <w:rFonts w:hint="eastAsia" w:ascii="仿宋" w:hAnsi="仿宋" w:eastAsia="仿宋" w:cs="仿宋"/>
                <w:bCs/>
                <w:sz w:val="24"/>
                <w:szCs w:val="24"/>
              </w:rPr>
              <w:t>专业方向内选修课</w:t>
            </w:r>
          </w:p>
        </w:tc>
        <w:tc>
          <w:tcPr>
            <w:tcW w:w="1274" w:type="dxa"/>
            <w:vAlign w:val="center"/>
          </w:tcPr>
          <w:p>
            <w:pPr>
              <w:jc w:val="center"/>
              <w:rPr>
                <w:rFonts w:ascii="仿宋" w:hAnsi="仿宋" w:eastAsia="仿宋" w:cs="仿宋"/>
                <w:bCs/>
                <w:sz w:val="24"/>
                <w:szCs w:val="24"/>
              </w:rPr>
            </w:pPr>
            <w:r>
              <w:rPr>
                <w:rFonts w:hint="eastAsia" w:ascii="仿宋" w:hAnsi="仿宋" w:eastAsia="仿宋" w:cs="仿宋"/>
                <w:bCs/>
                <w:sz w:val="24"/>
                <w:szCs w:val="24"/>
              </w:rPr>
              <w:t>专业方向外选修课</w:t>
            </w:r>
          </w:p>
        </w:tc>
      </w:tr>
    </w:tbl>
    <w:p>
      <w:pPr>
        <w:spacing w:line="600" w:lineRule="exact"/>
        <w:ind w:left="220" w:leftChars="105" w:firstLine="640" w:firstLineChars="200"/>
        <w:rPr>
          <w:rFonts w:ascii="仿宋" w:hAnsi="仿宋" w:eastAsia="仿宋" w:cs="宋体"/>
          <w:sz w:val="32"/>
          <w:szCs w:val="32"/>
        </w:rPr>
      </w:pPr>
      <w:r>
        <w:rPr>
          <w:rFonts w:hint="eastAsia" w:ascii="仿宋" w:hAnsi="仿宋" w:eastAsia="仿宋" w:cs="宋体"/>
          <w:sz w:val="32"/>
          <w:szCs w:val="32"/>
        </w:rPr>
        <w:t>课程体系由通识教育模块和专业教育模块两部分组成。</w:t>
      </w:r>
    </w:p>
    <w:p>
      <w:pPr>
        <w:spacing w:line="600" w:lineRule="exact"/>
        <w:ind w:firstLine="630" w:firstLineChars="196"/>
        <w:rPr>
          <w:rFonts w:ascii="仿宋" w:hAnsi="仿宋" w:eastAsia="仿宋" w:cs="宋体"/>
          <w:b/>
          <w:kern w:val="0"/>
          <w:sz w:val="32"/>
          <w:szCs w:val="32"/>
        </w:rPr>
      </w:pPr>
      <w:r>
        <w:rPr>
          <w:rFonts w:hint="eastAsia" w:ascii="仿宋" w:hAnsi="仿宋" w:eastAsia="仿宋" w:cs="宋体"/>
          <w:b/>
          <w:sz w:val="32"/>
          <w:szCs w:val="32"/>
        </w:rPr>
        <w:t>1、通识教育模块</w:t>
      </w:r>
    </w:p>
    <w:p>
      <w:pPr>
        <w:spacing w:line="600" w:lineRule="exact"/>
        <w:ind w:firstLine="627" w:firstLineChars="196"/>
        <w:rPr>
          <w:rFonts w:ascii="仿宋" w:hAnsi="仿宋" w:eastAsia="仿宋" w:cs="宋体"/>
          <w:kern w:val="0"/>
          <w:sz w:val="32"/>
          <w:szCs w:val="32"/>
        </w:rPr>
      </w:pPr>
      <w:r>
        <w:rPr>
          <w:rFonts w:hint="eastAsia" w:ascii="仿宋" w:hAnsi="仿宋" w:eastAsia="仿宋" w:cs="宋体"/>
          <w:sz w:val="32"/>
          <w:szCs w:val="32"/>
        </w:rPr>
        <w:t>通识教育作为专业教育的重要补充部分，在人才培养方面起着不可忽视的作用。通识教育旨在传承人文科学基础知识、自然科学基础知识和工具性知识，培养学生获得知识能力、价值判断能力和职业发展能力，提高思想素质、文化素质和身心素质，增强毕业生社会适应能力。通识教育模块由通识级公共必修课和通识级选修课两部分组成，该模块设置不应超过</w:t>
      </w:r>
      <w:r>
        <w:rPr>
          <w:rFonts w:ascii="仿宋" w:hAnsi="仿宋" w:eastAsia="仿宋" w:cs="宋体"/>
          <w:sz w:val="32"/>
          <w:szCs w:val="32"/>
        </w:rPr>
        <w:t>60</w:t>
      </w:r>
      <w:r>
        <w:rPr>
          <w:rFonts w:hint="eastAsia" w:ascii="仿宋" w:hAnsi="仿宋" w:eastAsia="仿宋" w:cs="宋体"/>
          <w:sz w:val="32"/>
          <w:szCs w:val="32"/>
        </w:rPr>
        <w:t>学分。</w:t>
      </w:r>
    </w:p>
    <w:p>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w:t>
      </w:r>
      <w:r>
        <w:rPr>
          <w:rFonts w:ascii="仿宋" w:hAnsi="仿宋" w:eastAsia="仿宋" w:cs="宋体"/>
          <w:b/>
          <w:sz w:val="32"/>
          <w:szCs w:val="32"/>
        </w:rPr>
        <w:t>1</w:t>
      </w:r>
      <w:r>
        <w:rPr>
          <w:rFonts w:hint="eastAsia" w:ascii="仿宋" w:hAnsi="仿宋" w:eastAsia="仿宋" w:cs="宋体"/>
          <w:b/>
          <w:sz w:val="32"/>
          <w:szCs w:val="32"/>
        </w:rPr>
        <w:t>）公共必修课</w:t>
      </w:r>
    </w:p>
    <w:p>
      <w:pPr>
        <w:spacing w:line="600" w:lineRule="exact"/>
        <w:ind w:firstLine="627" w:firstLineChars="196"/>
        <w:rPr>
          <w:rFonts w:ascii="仿宋" w:hAnsi="仿宋" w:eastAsia="仿宋" w:cs="宋体"/>
          <w:kern w:val="0"/>
          <w:sz w:val="32"/>
          <w:szCs w:val="32"/>
        </w:rPr>
      </w:pPr>
      <w:r>
        <w:rPr>
          <w:rFonts w:hint="eastAsia" w:ascii="仿宋" w:hAnsi="仿宋" w:eastAsia="仿宋" w:cs="宋体"/>
          <w:sz w:val="32"/>
          <w:szCs w:val="32"/>
        </w:rPr>
        <w:t>是按照国家相关文件要求统一开设的通识课程。全校公共必修课包括思想政治理论类课程、大学英语、大学语文、艺术概论、大学体育、大学生就业指导、大学生创业基础等课程，其中大学体育实行分项教学。公共必修课设置不应超过50学分。本次修订的课程有：</w:t>
      </w:r>
    </w:p>
    <w:p>
      <w:pPr>
        <w:tabs>
          <w:tab w:val="left" w:pos="312"/>
        </w:tabs>
        <w:spacing w:line="600" w:lineRule="exact"/>
        <w:ind w:firstLine="640" w:firstLineChars="200"/>
        <w:rPr>
          <w:rFonts w:ascii="仿宋" w:hAnsi="仿宋" w:eastAsia="仿宋" w:cs="宋体"/>
          <w:sz w:val="32"/>
          <w:szCs w:val="32"/>
        </w:rPr>
      </w:pPr>
      <w:r>
        <w:rPr>
          <w:rFonts w:ascii="仿宋" w:hAnsi="仿宋" w:eastAsia="仿宋" w:cs="宋体"/>
          <w:sz w:val="32"/>
          <w:szCs w:val="32"/>
        </w:rPr>
        <w:t>A.</w:t>
      </w:r>
      <w:r>
        <w:rPr>
          <w:rFonts w:hint="eastAsia" w:ascii="仿宋" w:hAnsi="仿宋" w:eastAsia="仿宋" w:cs="宋体"/>
          <w:sz w:val="32"/>
          <w:szCs w:val="32"/>
        </w:rPr>
        <w:t>《毛泽东思想和中国特色社会主义理论体系概论》（以下简称“毛概”）即《毛概Ⅰ》和《毛概Ⅱ》，从</w:t>
      </w:r>
      <w:r>
        <w:rPr>
          <w:rFonts w:ascii="仿宋" w:hAnsi="仿宋" w:eastAsia="仿宋" w:cs="宋体"/>
          <w:sz w:val="32"/>
          <w:szCs w:val="32"/>
        </w:rPr>
        <w:t>201</w:t>
      </w:r>
      <w:r>
        <w:rPr>
          <w:rFonts w:hint="eastAsia" w:ascii="仿宋" w:hAnsi="仿宋" w:eastAsia="仿宋" w:cs="宋体"/>
          <w:sz w:val="32"/>
          <w:szCs w:val="32"/>
        </w:rPr>
        <w:t>8级学生开始合为一门课修读，课程名称为《毛概》（6学分、96学时）。原《毛概Ⅰ》《毛概Ⅱ》课程依然保留，由</w:t>
      </w:r>
      <w:r>
        <w:rPr>
          <w:rFonts w:ascii="仿宋" w:hAnsi="仿宋" w:eastAsia="仿宋" w:cs="宋体"/>
          <w:sz w:val="32"/>
          <w:szCs w:val="32"/>
        </w:rPr>
        <w:t>201</w:t>
      </w:r>
      <w:r>
        <w:rPr>
          <w:rFonts w:hint="eastAsia" w:ascii="仿宋" w:hAnsi="仿宋" w:eastAsia="仿宋" w:cs="宋体"/>
          <w:sz w:val="32"/>
          <w:szCs w:val="32"/>
        </w:rPr>
        <w:t>6级、</w:t>
      </w:r>
      <w:r>
        <w:rPr>
          <w:rFonts w:ascii="仿宋" w:hAnsi="仿宋" w:eastAsia="仿宋" w:cs="宋体"/>
          <w:sz w:val="32"/>
          <w:szCs w:val="32"/>
        </w:rPr>
        <w:t>201</w:t>
      </w:r>
      <w:r>
        <w:rPr>
          <w:rFonts w:hint="eastAsia" w:ascii="仿宋" w:hAnsi="仿宋" w:eastAsia="仿宋" w:cs="宋体"/>
          <w:sz w:val="32"/>
          <w:szCs w:val="32"/>
        </w:rPr>
        <w:t>7级学生修读。</w:t>
      </w:r>
    </w:p>
    <w:p>
      <w:pPr>
        <w:tabs>
          <w:tab w:val="left" w:pos="312"/>
        </w:tabs>
        <w:spacing w:line="600" w:lineRule="exact"/>
        <w:ind w:firstLine="640" w:firstLineChars="200"/>
        <w:rPr>
          <w:rFonts w:ascii="仿宋" w:hAnsi="仿宋" w:eastAsia="仿宋" w:cs="宋体"/>
          <w:kern w:val="0"/>
          <w:sz w:val="32"/>
          <w:szCs w:val="32"/>
        </w:rPr>
      </w:pPr>
      <w:r>
        <w:rPr>
          <w:rFonts w:ascii="仿宋" w:hAnsi="仿宋" w:eastAsia="仿宋" w:cs="宋体"/>
          <w:sz w:val="32"/>
          <w:szCs w:val="32"/>
        </w:rPr>
        <w:t>B.</w:t>
      </w:r>
      <w:r>
        <w:rPr>
          <w:rFonts w:hint="eastAsia" w:ascii="仿宋" w:hAnsi="仿宋" w:eastAsia="仿宋" w:cs="宋体"/>
          <w:sz w:val="32"/>
          <w:szCs w:val="32"/>
        </w:rPr>
        <w:t>思想政治理论类课程《道德与法律》《中国近代史纲要》《马克思主义原理》《毛概》须按此顺序依次开课与修读。</w:t>
      </w:r>
    </w:p>
    <w:p>
      <w:pPr>
        <w:tabs>
          <w:tab w:val="left" w:pos="312"/>
        </w:tabs>
        <w:spacing w:line="600" w:lineRule="exact"/>
        <w:ind w:firstLine="640" w:firstLineChars="200"/>
        <w:rPr>
          <w:rFonts w:ascii="仿宋" w:hAnsi="仿宋" w:eastAsia="仿宋" w:cs="宋体"/>
          <w:kern w:val="0"/>
          <w:sz w:val="32"/>
          <w:szCs w:val="32"/>
        </w:rPr>
      </w:pPr>
      <w:r>
        <w:rPr>
          <w:rFonts w:ascii="仿宋" w:hAnsi="仿宋" w:eastAsia="仿宋" w:cs="宋体"/>
          <w:sz w:val="32"/>
          <w:szCs w:val="32"/>
        </w:rPr>
        <w:t>C.</w:t>
      </w:r>
      <w:r>
        <w:rPr>
          <w:rFonts w:hint="eastAsia" w:ascii="仿宋" w:hAnsi="仿宋" w:eastAsia="仿宋" w:cs="宋体"/>
          <w:sz w:val="32"/>
          <w:szCs w:val="32"/>
        </w:rPr>
        <w:t>《筑梦Ⅰ》《筑梦Ⅱ》《筑梦Ⅲ》《筑梦Ⅳ》</w:t>
      </w:r>
      <w:r>
        <w:rPr>
          <w:rFonts w:hint="eastAsia" w:ascii="仿宋" w:hAnsi="仿宋" w:eastAsia="仿宋" w:cs="宋体"/>
          <w:kern w:val="0"/>
          <w:sz w:val="32"/>
          <w:szCs w:val="32"/>
        </w:rPr>
        <w:t>课程从2018级起开设</w:t>
      </w:r>
      <w:r>
        <w:rPr>
          <w:rFonts w:hint="eastAsia" w:ascii="仿宋" w:hAnsi="仿宋" w:eastAsia="仿宋" w:cs="宋体"/>
          <w:sz w:val="32"/>
          <w:szCs w:val="32"/>
        </w:rPr>
        <w:t>。</w:t>
      </w:r>
    </w:p>
    <w:p>
      <w:pPr>
        <w:tabs>
          <w:tab w:val="left" w:pos="312"/>
        </w:tabs>
        <w:spacing w:line="600" w:lineRule="exact"/>
        <w:ind w:firstLine="640" w:firstLineChars="200"/>
        <w:rPr>
          <w:rFonts w:ascii="仿宋" w:hAnsi="仿宋" w:eastAsia="仿宋" w:cs="宋体"/>
          <w:kern w:val="0"/>
          <w:sz w:val="32"/>
          <w:szCs w:val="32"/>
        </w:rPr>
      </w:pPr>
      <w:r>
        <w:rPr>
          <w:rFonts w:ascii="仿宋" w:hAnsi="仿宋" w:eastAsia="仿宋" w:cs="宋体"/>
          <w:kern w:val="0"/>
          <w:sz w:val="32"/>
          <w:szCs w:val="32"/>
        </w:rPr>
        <w:t>D.</w:t>
      </w:r>
      <w:r>
        <w:rPr>
          <w:rFonts w:hint="eastAsia" w:ascii="仿宋" w:hAnsi="仿宋" w:eastAsia="仿宋" w:cs="宋体"/>
          <w:kern w:val="0"/>
          <w:sz w:val="32"/>
          <w:szCs w:val="32"/>
        </w:rPr>
        <w:t>《大学生就业指导》课程从2017级开始拆分为2门，即《职业生涯规划》（1学分，16学时）与《大学生就业指导》（1学分，20学时），分别于第3学期和第5学期开设。</w:t>
      </w:r>
    </w:p>
    <w:p>
      <w:pPr>
        <w:tabs>
          <w:tab w:val="left" w:pos="312"/>
        </w:tabs>
        <w:spacing w:line="600" w:lineRule="exact"/>
        <w:ind w:firstLine="640" w:firstLineChars="200"/>
        <w:rPr>
          <w:rFonts w:ascii="仿宋" w:hAnsi="仿宋" w:eastAsia="仿宋" w:cs="宋体"/>
          <w:kern w:val="0"/>
          <w:sz w:val="32"/>
          <w:szCs w:val="32"/>
        </w:rPr>
      </w:pPr>
      <w:r>
        <w:rPr>
          <w:rFonts w:ascii="仿宋" w:hAnsi="仿宋" w:eastAsia="仿宋" w:cs="宋体"/>
          <w:kern w:val="0"/>
          <w:sz w:val="32"/>
          <w:szCs w:val="32"/>
        </w:rPr>
        <w:t>E.</w:t>
      </w:r>
      <w:r>
        <w:rPr>
          <w:rFonts w:hint="eastAsia" w:ascii="仿宋" w:hAnsi="仿宋" w:eastAsia="仿宋" w:cs="宋体"/>
          <w:kern w:val="0"/>
          <w:sz w:val="32"/>
          <w:szCs w:val="32"/>
        </w:rPr>
        <w:t>《大学生创业基础》课程从</w:t>
      </w:r>
      <w:r>
        <w:rPr>
          <w:rFonts w:ascii="仿宋" w:hAnsi="仿宋" w:eastAsia="仿宋" w:cs="宋体"/>
          <w:kern w:val="0"/>
          <w:sz w:val="32"/>
          <w:szCs w:val="32"/>
        </w:rPr>
        <w:t>201</w:t>
      </w:r>
      <w:r>
        <w:rPr>
          <w:rFonts w:hint="eastAsia" w:ascii="仿宋" w:hAnsi="仿宋" w:eastAsia="仿宋" w:cs="宋体"/>
          <w:kern w:val="0"/>
          <w:sz w:val="32"/>
          <w:szCs w:val="32"/>
        </w:rPr>
        <w:t>9级学生开始改为32学时，</w:t>
      </w:r>
      <w:r>
        <w:rPr>
          <w:rFonts w:ascii="仿宋" w:hAnsi="仿宋" w:eastAsia="仿宋" w:cs="宋体"/>
          <w:kern w:val="0"/>
          <w:sz w:val="32"/>
          <w:szCs w:val="32"/>
        </w:rPr>
        <w:t>2</w:t>
      </w:r>
      <w:r>
        <w:rPr>
          <w:rFonts w:hint="eastAsia" w:ascii="仿宋" w:hAnsi="仿宋" w:eastAsia="仿宋" w:cs="宋体"/>
          <w:kern w:val="0"/>
          <w:sz w:val="32"/>
          <w:szCs w:val="32"/>
        </w:rPr>
        <w:t>学分，于第</w:t>
      </w:r>
      <w:r>
        <w:rPr>
          <w:rFonts w:ascii="仿宋" w:hAnsi="仿宋" w:eastAsia="仿宋" w:cs="宋体"/>
          <w:kern w:val="0"/>
          <w:sz w:val="32"/>
          <w:szCs w:val="32"/>
        </w:rPr>
        <w:t>4</w:t>
      </w:r>
      <w:r>
        <w:rPr>
          <w:rFonts w:hint="eastAsia" w:ascii="仿宋" w:hAnsi="仿宋" w:eastAsia="仿宋" w:cs="宋体"/>
          <w:kern w:val="0"/>
          <w:sz w:val="32"/>
          <w:szCs w:val="32"/>
        </w:rPr>
        <w:t>学期开设。</w:t>
      </w:r>
    </w:p>
    <w:p>
      <w:pPr>
        <w:spacing w:line="600" w:lineRule="exact"/>
        <w:rPr>
          <w:rFonts w:ascii="仿宋" w:hAnsi="仿宋" w:eastAsia="仿宋" w:cs="宋体"/>
          <w:b/>
          <w:sz w:val="32"/>
          <w:szCs w:val="32"/>
        </w:rPr>
      </w:pPr>
      <w:r>
        <w:rPr>
          <w:rFonts w:ascii="仿宋" w:hAnsi="仿宋" w:eastAsia="仿宋" w:cs="宋体"/>
          <w:b/>
          <w:sz w:val="32"/>
          <w:szCs w:val="32"/>
        </w:rPr>
        <w:t xml:space="preserve">   </w:t>
      </w:r>
      <w:r>
        <w:rPr>
          <w:rFonts w:hint="eastAsia" w:ascii="仿宋" w:hAnsi="仿宋" w:eastAsia="仿宋" w:cs="宋体"/>
          <w:b/>
          <w:sz w:val="32"/>
          <w:szCs w:val="32"/>
        </w:rPr>
        <w:t>（2）通识级选修课</w:t>
      </w:r>
    </w:p>
    <w:p>
      <w:pPr>
        <w:autoSpaceDE w:val="0"/>
        <w:autoSpaceDN w:val="0"/>
        <w:adjustRightInd w:val="0"/>
        <w:spacing w:line="6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通识级公共选修课旨在提升学生人文修养、科学精神和民族文化认同感，拓宽知识视野，丰富学生的学习内容与学习方式，培养知识广博、具有创新和实践能力的高素质人才。根据通识级选修课的通识教育、全人教育、终身学习教育理念，通过借鉴一流大学经验，汇集名师名家课程，丰富选修课程资源。通识级公共选修课通过将面授与网络授课相结合的方式，开设艺术鉴赏类、通用能力类、文学赏析类、历史文化类、哲学宗教类等课程，增强学生自主学习能力，支持和鼓励学生的交叉复合培养乃至综合型发展。</w:t>
      </w:r>
    </w:p>
    <w:p>
      <w:pPr>
        <w:autoSpaceDE w:val="0"/>
        <w:autoSpaceDN w:val="0"/>
        <w:adjustRightInd w:val="0"/>
        <w:spacing w:line="6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此类课程设置由学校统一规划、统一开课，学生从第一学期开始修读，在读期间需最低修满7学分，其中包括面授教学课程4学分（</w:t>
      </w:r>
      <w:r>
        <w:rPr>
          <w:rFonts w:ascii="仿宋" w:hAnsi="仿宋" w:eastAsia="仿宋" w:cs="宋体"/>
          <w:sz w:val="32"/>
          <w:szCs w:val="32"/>
        </w:rPr>
        <w:t>4</w:t>
      </w:r>
      <w:r>
        <w:rPr>
          <w:rFonts w:hint="eastAsia" w:ascii="仿宋" w:hAnsi="仿宋" w:eastAsia="仿宋" w:cs="宋体"/>
          <w:sz w:val="32"/>
          <w:szCs w:val="32"/>
        </w:rPr>
        <w:t>门）、网络课程3学分（</w:t>
      </w:r>
      <w:r>
        <w:rPr>
          <w:rFonts w:ascii="仿宋" w:hAnsi="仿宋" w:eastAsia="仿宋" w:cs="宋体"/>
          <w:sz w:val="32"/>
          <w:szCs w:val="32"/>
        </w:rPr>
        <w:t>3</w:t>
      </w:r>
      <w:r>
        <w:rPr>
          <w:rFonts w:hint="eastAsia" w:ascii="仿宋" w:hAnsi="仿宋" w:eastAsia="仿宋" w:cs="宋体"/>
          <w:sz w:val="32"/>
          <w:szCs w:val="32"/>
        </w:rPr>
        <w:t>门）。每名学生每学期限选</w:t>
      </w:r>
      <w:r>
        <w:rPr>
          <w:rFonts w:ascii="仿宋" w:hAnsi="仿宋" w:eastAsia="仿宋" w:cs="宋体"/>
          <w:sz w:val="32"/>
          <w:szCs w:val="32"/>
        </w:rPr>
        <w:t>1</w:t>
      </w:r>
      <w:r>
        <w:rPr>
          <w:rFonts w:hint="eastAsia" w:ascii="仿宋" w:hAnsi="仿宋" w:eastAsia="仿宋" w:cs="宋体"/>
          <w:sz w:val="32"/>
          <w:szCs w:val="32"/>
        </w:rPr>
        <w:t>门（1学分）课堂面授课程和多门网络课程，此类课程学生在校期间多修不限，但不可冲抵其他课程类别的学分。</w:t>
      </w:r>
    </w:p>
    <w:p>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2、专业教育模块</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专业教育是大学教育的核心内容，旨在传承和发展专业知识，培养和训练学生应用知识能力、创新能力，提升专业素质。专业教育模块由“专业基础课程”“专业方向课程”“专业选修课程”“艺术实践”四个部分构成。须从中明确5-10门核心课程，可参照《国标》各专业方向中列举的核心课程进行设置。各专业应注重拓展学生知识视野、提高学生综合素质、培养学生创新实践能力，并加大学生自主学习的灵活性，为学生个性化发展提供足够的教学资源。通识级公共课已开设的课程，原则上分院不应重复开课，有特殊情况者，须向教务处提交书面申请，批准之后方可开设。专业课程总学分不应超过</w:t>
      </w:r>
      <w:r>
        <w:rPr>
          <w:rFonts w:ascii="仿宋" w:hAnsi="仿宋" w:eastAsia="仿宋" w:cs="宋体"/>
          <w:sz w:val="32"/>
          <w:szCs w:val="32"/>
        </w:rPr>
        <w:t>1</w:t>
      </w:r>
      <w:r>
        <w:rPr>
          <w:rFonts w:hint="eastAsia" w:ascii="仿宋" w:hAnsi="仿宋" w:eastAsia="仿宋" w:cs="宋体"/>
          <w:sz w:val="32"/>
          <w:szCs w:val="32"/>
        </w:rPr>
        <w:t>22学分。</w:t>
      </w:r>
    </w:p>
    <w:p>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（1）专业基础课程</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专业基础课程是专业所属学科领域内的基础性课程群，其作用是为学生专业发展打下坚实的基础，要以《国标》中“培养规格”或“课程体系”中的课程诠释及其列举的专业课程为基准合理开设。需要注意以下方面：</w:t>
      </w:r>
    </w:p>
    <w:p>
      <w:pPr>
        <w:tabs>
          <w:tab w:val="left" w:pos="312"/>
        </w:tabs>
        <w:spacing w:line="600" w:lineRule="exact"/>
        <w:ind w:firstLine="640" w:firstLineChars="200"/>
        <w:rPr>
          <w:rFonts w:ascii="仿宋" w:hAnsi="仿宋" w:eastAsia="仿宋" w:cs="宋体"/>
          <w:kern w:val="0"/>
          <w:sz w:val="32"/>
          <w:szCs w:val="32"/>
        </w:rPr>
      </w:pPr>
      <w:r>
        <w:rPr>
          <w:rFonts w:ascii="仿宋" w:hAnsi="仿宋" w:eastAsia="仿宋" w:cs="宋体"/>
          <w:kern w:val="0"/>
          <w:sz w:val="32"/>
          <w:szCs w:val="32"/>
        </w:rPr>
        <w:t>A.</w:t>
      </w:r>
      <w:r>
        <w:rPr>
          <w:rFonts w:hint="eastAsia" w:ascii="仿宋" w:hAnsi="仿宋" w:eastAsia="仿宋" w:cs="宋体"/>
          <w:kern w:val="0"/>
          <w:sz w:val="32"/>
          <w:szCs w:val="32"/>
        </w:rPr>
        <w:t>加大专业基础课学分，拓宽专业面向，优化学生知识结构，原则上要求同一专业下不同方向有不低于28学分的相同课程，同一专业类别下的不同专业有不低于4学分的相同课程，注重各专业之间的相互渗透。</w:t>
      </w:r>
    </w:p>
    <w:p>
      <w:pPr>
        <w:tabs>
          <w:tab w:val="left" w:pos="312"/>
        </w:tabs>
        <w:spacing w:line="600" w:lineRule="exact"/>
        <w:ind w:firstLine="640" w:firstLineChars="200"/>
        <w:rPr>
          <w:rFonts w:ascii="仿宋" w:hAnsi="仿宋" w:eastAsia="仿宋" w:cs="宋体"/>
          <w:kern w:val="0"/>
          <w:sz w:val="32"/>
          <w:szCs w:val="32"/>
        </w:rPr>
      </w:pPr>
      <w:r>
        <w:rPr>
          <w:rFonts w:ascii="仿宋" w:hAnsi="仿宋" w:eastAsia="仿宋" w:cs="宋体"/>
          <w:kern w:val="0"/>
          <w:sz w:val="32"/>
          <w:szCs w:val="32"/>
        </w:rPr>
        <w:t>B.</w:t>
      </w:r>
      <w:r>
        <w:rPr>
          <w:rFonts w:hint="eastAsia" w:ascii="仿宋" w:hAnsi="仿宋" w:eastAsia="仿宋" w:cs="宋体"/>
          <w:kern w:val="0"/>
          <w:sz w:val="32"/>
          <w:szCs w:val="32"/>
        </w:rPr>
        <w:t>对于艺术类专业外语的教学，其中包括《专业英语A》为专业基础必修课程，36学时，2学分，要求于第3学期开课。《专业外语B》《专业外语C》为不做硬性要求的专业选修课。</w:t>
      </w:r>
    </w:p>
    <w:p>
      <w:pPr>
        <w:tabs>
          <w:tab w:val="left" w:pos="312"/>
        </w:tabs>
        <w:spacing w:line="600" w:lineRule="exact"/>
        <w:ind w:firstLine="640" w:firstLineChars="200"/>
        <w:rPr>
          <w:rFonts w:ascii="仿宋" w:hAnsi="仿宋" w:eastAsia="仿宋" w:cs="宋体"/>
          <w:kern w:val="0"/>
          <w:sz w:val="32"/>
          <w:szCs w:val="32"/>
        </w:rPr>
      </w:pPr>
      <w:r>
        <w:rPr>
          <w:rFonts w:ascii="仿宋" w:hAnsi="仿宋" w:eastAsia="仿宋" w:cs="宋体"/>
          <w:kern w:val="0"/>
          <w:sz w:val="32"/>
          <w:szCs w:val="32"/>
        </w:rPr>
        <w:t>C.</w:t>
      </w:r>
      <w:r>
        <w:rPr>
          <w:rFonts w:hint="eastAsia" w:ascii="仿宋" w:hAnsi="仿宋" w:eastAsia="仿宋" w:cs="宋体"/>
          <w:kern w:val="0"/>
          <w:sz w:val="32"/>
          <w:szCs w:val="32"/>
        </w:rPr>
        <w:t>《教育学》《心理学》必修课归属相关分院，是艺术教育类专业的专业基础课。</w:t>
      </w:r>
    </w:p>
    <w:p>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（2）专业方向课程</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专业方向课程是培养学生的专业知识、专业素质和专业技能的课程。要以《国标》中“培养规格”或“课程体系”中对课程的诠释及其列举的专业课程为基准合理开设。专业方向课程的设置应符合学校人才培养目标的要求，针对社会对专业人才的需求，开设具有应用性、创新性的示范课程，着力培养学生的实践能力、创新精神和就业能力。本次修订控制专业方向课程学分，同一专业按不同方向分流培养时，专业方向课程不应超过67学分。</w:t>
      </w:r>
    </w:p>
    <w:p>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（3）专业选修课程</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专业选修课程是拓展学生了解并部分掌握本专业所属学科领域内的其他专业或不同专业方向知识的课程群。学生可以根据自身知识水平和兴趣进行自主选择，各教学单位也可以根据学生的实际情况要求不同专业的学生选修特定部分的课程。专业选修课要求修满不少于</w:t>
      </w:r>
      <w:r>
        <w:rPr>
          <w:rFonts w:ascii="仿宋" w:hAnsi="仿宋" w:eastAsia="仿宋" w:cs="宋体"/>
          <w:sz w:val="32"/>
          <w:szCs w:val="32"/>
        </w:rPr>
        <w:t>4</w:t>
      </w:r>
      <w:r>
        <w:rPr>
          <w:rFonts w:hint="eastAsia" w:ascii="仿宋" w:hAnsi="仿宋" w:eastAsia="仿宋" w:cs="宋体"/>
          <w:sz w:val="32"/>
          <w:szCs w:val="32"/>
        </w:rPr>
        <w:t>门课程、</w:t>
      </w:r>
      <w:r>
        <w:rPr>
          <w:rFonts w:ascii="仿宋" w:hAnsi="仿宋" w:eastAsia="仿宋" w:cs="宋体"/>
          <w:sz w:val="32"/>
          <w:szCs w:val="32"/>
        </w:rPr>
        <w:t>8</w:t>
      </w:r>
      <w:r>
        <w:rPr>
          <w:rFonts w:hint="eastAsia" w:ascii="仿宋" w:hAnsi="仿宋" w:eastAsia="仿宋" w:cs="宋体"/>
          <w:sz w:val="32"/>
          <w:szCs w:val="32"/>
        </w:rPr>
        <w:t>学分。要有充足课程资源满足学生任选，专业选修课的开课数量应超出毕业最低门数要求的2至4门。课程的设置由各分院自行安排，学生选修课多选不限，但不可冲抵其他课程类别学分。</w:t>
      </w:r>
    </w:p>
    <w:p>
      <w:pPr>
        <w:spacing w:line="52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（4）艺术实践</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我校实践性教学体系由“课内实践”和“课外实践”两部分组成。“课内实践”即“实践性教学环节”；“课外实践”即“艺术实践学分”。</w:t>
      </w:r>
    </w:p>
    <w:p>
      <w:pPr>
        <w:numPr>
          <w:ilvl w:val="0"/>
          <w:numId w:val="1"/>
        </w:numPr>
        <w:spacing w:line="520" w:lineRule="exact"/>
        <w:ind w:left="0" w:firstLine="617" w:firstLineChars="193"/>
        <w:rPr>
          <w:rFonts w:ascii="仿宋_GB2312" w:hAnsi="宋体" w:eastAsia="仿宋_GB2312" w:cs="宋体"/>
          <w:kern w:val="0"/>
          <w:sz w:val="32"/>
          <w:szCs w:val="32"/>
        </w:rPr>
      </w:pPr>
      <w:r>
        <w:rPr>
          <w:rFonts w:hint="eastAsia" w:ascii="仿宋_GB2312" w:hAnsi="宋体" w:eastAsia="仿宋_GB2312" w:cs="宋体"/>
          <w:kern w:val="0"/>
          <w:sz w:val="32"/>
          <w:szCs w:val="32"/>
        </w:rPr>
        <w:t>“实践性教学环节”是课内实践，是为配合理论教学，培养学生分析问题和解决问题的能力，加强专业训练和锻炼学生实践能力而设置的教学环节，各专业可参考《国标》及《普通高等教学本科专业目录和专业介绍（2012）》进行设置。主要包括“集中实践教学环节”和“实验教学”两个部分。</w:t>
      </w:r>
    </w:p>
    <w:p>
      <w:pPr>
        <w:numPr>
          <w:ilvl w:val="0"/>
          <w:numId w:val="2"/>
        </w:numPr>
        <w:spacing w:line="520" w:lineRule="exact"/>
        <w:ind w:firstLine="617" w:firstLineChars="193"/>
        <w:rPr>
          <w:rFonts w:ascii="仿宋_GB2312" w:hAnsi="宋体" w:eastAsia="仿宋_GB2312" w:cs="宋体"/>
          <w:kern w:val="0"/>
          <w:sz w:val="32"/>
          <w:szCs w:val="32"/>
        </w:rPr>
      </w:pPr>
      <w:r>
        <w:rPr>
          <w:rFonts w:hint="eastAsia" w:ascii="仿宋_GB2312" w:hAnsi="宋体" w:eastAsia="仿宋_GB2312" w:cs="宋体"/>
          <w:kern w:val="0"/>
          <w:sz w:val="32"/>
          <w:szCs w:val="32"/>
        </w:rPr>
        <w:t>“集中实践教学环节”由两类课程构成，包括在教学计划内主要进行技能、技法教学的“专业技能课”，以及在教学计划内以专业考察、写生、采风、创作、技能训练、毕业论文、毕业展演与毕业文案综述等为主的在教师的带领下集中实施的“专业实践课”。《毕业展演与文案综述》为5学分，《毕业论文》仅对理论类专业要求，为5学分；</w:t>
      </w:r>
    </w:p>
    <w:p>
      <w:pPr>
        <w:numPr>
          <w:ilvl w:val="0"/>
          <w:numId w:val="2"/>
        </w:numPr>
        <w:spacing w:line="520" w:lineRule="exact"/>
        <w:ind w:firstLine="617" w:firstLineChars="193"/>
        <w:rPr>
          <w:rFonts w:ascii="仿宋_GB2312" w:hAnsi="宋体" w:eastAsia="仿宋_GB2312" w:cs="宋体"/>
          <w:kern w:val="0"/>
          <w:sz w:val="32"/>
          <w:szCs w:val="32"/>
        </w:rPr>
      </w:pPr>
      <w:r>
        <w:rPr>
          <w:rFonts w:hint="eastAsia" w:ascii="仿宋_GB2312" w:hAnsi="宋体" w:eastAsia="仿宋_GB2312" w:cs="宋体"/>
          <w:kern w:val="0"/>
          <w:sz w:val="32"/>
          <w:szCs w:val="32"/>
        </w:rPr>
        <w:t>“实验教学”包括使用实验室设备进行教学的“课内实验课”和“独立设置实验课”。</w:t>
      </w:r>
    </w:p>
    <w:p>
      <w:pPr>
        <w:numPr>
          <w:ilvl w:val="0"/>
          <w:numId w:val="1"/>
        </w:numPr>
        <w:spacing w:line="520" w:lineRule="exact"/>
        <w:ind w:left="0" w:firstLine="617" w:firstLineChars="193"/>
        <w:rPr>
          <w:rFonts w:ascii="仿宋_GB2312" w:hAnsi="宋体" w:eastAsia="仿宋_GB2312" w:cs="宋体"/>
          <w:kern w:val="0"/>
          <w:sz w:val="32"/>
          <w:szCs w:val="32"/>
        </w:rPr>
      </w:pPr>
      <w:r>
        <w:rPr>
          <w:rFonts w:hint="eastAsia" w:ascii="仿宋_GB2312" w:hAnsi="宋体" w:eastAsia="仿宋_GB2312" w:cs="宋体"/>
          <w:kern w:val="0"/>
          <w:sz w:val="32"/>
          <w:szCs w:val="32"/>
        </w:rPr>
        <w:t>“艺术实践学分”是课外实践，即我校全日制本科学生在校期间在专业艺术实践方面（如参加校内外重要展演、参赛获奖、学术研究、毕业实习、参与科研创新创业项目等）所须完成的最低学分，为10学分，可作为学生评奖评优的参考依据，也是我校各专业学生取得毕业资格和学位授予资格的必要前提。“艺术实践学分”的获得按学校统一的标准进行核算，自2013级学生开始，“艺术实践学分”纳入本科生教学计划，在第8学期毕业前开课，并录入学生所获得的学分数。</w:t>
      </w:r>
    </w:p>
    <w:p>
      <w:pPr>
        <w:spacing w:line="52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（5）专业课程属性</w:t>
      </w:r>
    </w:p>
    <w:p>
      <w:pPr>
        <w:numPr>
          <w:ilvl w:val="255"/>
          <w:numId w:val="0"/>
        </w:num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教务管理系统中的人才培养方案数据，既要符合我校艺术类专业实际教学情况与教育规律，又要符合《全国高校数据库申报表》中对相关申报数据的定义与要求。具体对应关系如下：</w:t>
      </w:r>
    </w:p>
    <w:p>
      <w:pPr>
        <w:spacing w:line="600" w:lineRule="exact"/>
        <w:ind w:left="-14"/>
        <w:jc w:val="center"/>
        <w:rPr>
          <w:rFonts w:ascii="仿宋" w:hAnsi="仿宋" w:eastAsia="仿宋" w:cs="仿宋"/>
          <w:b/>
          <w:sz w:val="28"/>
          <w:szCs w:val="28"/>
        </w:rPr>
      </w:pPr>
      <w:r>
        <w:rPr>
          <w:rFonts w:hint="eastAsia" w:ascii="仿宋" w:hAnsi="仿宋" w:eastAsia="仿宋" w:cs="仿宋"/>
          <w:b/>
          <w:sz w:val="28"/>
          <w:szCs w:val="28"/>
        </w:rPr>
        <w:t>教务系统数据与《全国高校教学数据库申报表》栏目关系对照表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867"/>
        <w:gridCol w:w="900"/>
        <w:gridCol w:w="1080"/>
        <w:gridCol w:w="734"/>
        <w:gridCol w:w="1306"/>
        <w:gridCol w:w="1841"/>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306" w:type="dxa"/>
            <w:gridSpan w:val="4"/>
            <w:vAlign w:val="center"/>
          </w:tcPr>
          <w:p>
            <w:pPr>
              <w:spacing w:line="320" w:lineRule="exact"/>
              <w:jc w:val="center"/>
              <w:rPr>
                <w:rFonts w:ascii="仿宋" w:hAnsi="仿宋" w:eastAsia="仿宋" w:cs="仿宋_GB2312"/>
                <w:b/>
                <w:szCs w:val="21"/>
              </w:rPr>
            </w:pPr>
            <w:r>
              <w:rPr>
                <w:rFonts w:hint="eastAsia" w:ascii="仿宋" w:hAnsi="仿宋" w:eastAsia="仿宋" w:cs="仿宋_GB2312"/>
                <w:b/>
                <w:szCs w:val="21"/>
              </w:rPr>
              <w:t>《高校教学数据库申报表》</w:t>
            </w:r>
          </w:p>
        </w:tc>
        <w:tc>
          <w:tcPr>
            <w:tcW w:w="5750" w:type="dxa"/>
            <w:gridSpan w:val="4"/>
            <w:vAlign w:val="center"/>
          </w:tcPr>
          <w:p>
            <w:pPr>
              <w:spacing w:line="320" w:lineRule="exact"/>
              <w:jc w:val="center"/>
              <w:rPr>
                <w:rFonts w:ascii="仿宋" w:hAnsi="仿宋" w:eastAsia="仿宋" w:cs="仿宋_GB2312"/>
                <w:b/>
                <w:szCs w:val="21"/>
              </w:rPr>
            </w:pPr>
            <w:r>
              <w:rPr>
                <w:rFonts w:hint="eastAsia" w:ascii="仿宋" w:hAnsi="仿宋" w:eastAsia="仿宋" w:cs="仿宋_GB2312"/>
                <w:b/>
                <w:szCs w:val="21"/>
              </w:rPr>
              <w:t>我校教务管理系统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326" w:type="dxa"/>
            <w:gridSpan w:val="2"/>
            <w:vAlign w:val="center"/>
          </w:tcPr>
          <w:p>
            <w:pPr>
              <w:spacing w:line="320" w:lineRule="exact"/>
              <w:jc w:val="center"/>
              <w:rPr>
                <w:rFonts w:ascii="仿宋" w:hAnsi="仿宋" w:eastAsia="仿宋" w:cs="仿宋_GB2312"/>
                <w:bCs/>
                <w:szCs w:val="21"/>
              </w:rPr>
            </w:pPr>
            <w:r>
              <w:rPr>
                <w:rFonts w:hint="eastAsia" w:ascii="仿宋" w:hAnsi="仿宋" w:eastAsia="仿宋" w:cs="仿宋_GB2312"/>
                <w:bCs/>
                <w:szCs w:val="21"/>
              </w:rPr>
              <w:t>申报要求</w:t>
            </w:r>
          </w:p>
        </w:tc>
        <w:tc>
          <w:tcPr>
            <w:tcW w:w="1980" w:type="dxa"/>
            <w:gridSpan w:val="2"/>
            <w:vAlign w:val="center"/>
          </w:tcPr>
          <w:p>
            <w:pPr>
              <w:spacing w:line="320" w:lineRule="exact"/>
              <w:jc w:val="center"/>
              <w:rPr>
                <w:rFonts w:ascii="仿宋" w:hAnsi="仿宋" w:eastAsia="仿宋" w:cs="仿宋_GB2312"/>
                <w:bCs/>
                <w:szCs w:val="21"/>
              </w:rPr>
            </w:pPr>
            <w:r>
              <w:rPr>
                <w:rFonts w:hint="eastAsia" w:ascii="仿宋" w:hAnsi="仿宋" w:eastAsia="仿宋" w:cs="仿宋_GB2312"/>
                <w:bCs/>
                <w:szCs w:val="21"/>
              </w:rPr>
              <w:t>栏目名称</w:t>
            </w:r>
          </w:p>
        </w:tc>
        <w:tc>
          <w:tcPr>
            <w:tcW w:w="734" w:type="dxa"/>
            <w:vAlign w:val="center"/>
          </w:tcPr>
          <w:p>
            <w:pPr>
              <w:spacing w:line="320" w:lineRule="exact"/>
              <w:jc w:val="center"/>
              <w:rPr>
                <w:rFonts w:ascii="仿宋" w:hAnsi="仿宋" w:eastAsia="仿宋" w:cs="仿宋_GB2312"/>
                <w:bCs/>
                <w:szCs w:val="21"/>
              </w:rPr>
            </w:pPr>
            <w:r>
              <w:rPr>
                <w:rFonts w:hint="eastAsia" w:ascii="仿宋" w:hAnsi="仿宋" w:eastAsia="仿宋" w:cs="仿宋_GB2312"/>
                <w:bCs/>
                <w:szCs w:val="21"/>
              </w:rPr>
              <w:t>课程性质</w:t>
            </w:r>
          </w:p>
        </w:tc>
        <w:tc>
          <w:tcPr>
            <w:tcW w:w="1306" w:type="dxa"/>
            <w:vAlign w:val="center"/>
          </w:tcPr>
          <w:p>
            <w:pPr>
              <w:spacing w:line="320" w:lineRule="exact"/>
              <w:jc w:val="center"/>
              <w:rPr>
                <w:rFonts w:ascii="仿宋" w:hAnsi="仿宋" w:eastAsia="仿宋" w:cs="仿宋_GB2312"/>
                <w:bCs/>
                <w:szCs w:val="21"/>
              </w:rPr>
            </w:pPr>
            <w:r>
              <w:rPr>
                <w:rFonts w:hint="eastAsia" w:ascii="仿宋" w:hAnsi="仿宋" w:eastAsia="仿宋" w:cs="仿宋_GB2312"/>
                <w:bCs/>
                <w:szCs w:val="21"/>
              </w:rPr>
              <w:t>课程属性</w:t>
            </w:r>
          </w:p>
        </w:tc>
        <w:tc>
          <w:tcPr>
            <w:tcW w:w="1841" w:type="dxa"/>
            <w:vAlign w:val="center"/>
          </w:tcPr>
          <w:p>
            <w:pPr>
              <w:spacing w:line="320" w:lineRule="exact"/>
              <w:jc w:val="center"/>
              <w:rPr>
                <w:rFonts w:ascii="仿宋" w:hAnsi="仿宋" w:eastAsia="仿宋" w:cs="仿宋_GB2312"/>
                <w:bCs/>
                <w:szCs w:val="21"/>
              </w:rPr>
            </w:pPr>
            <w:r>
              <w:rPr>
                <w:rFonts w:hint="eastAsia" w:ascii="仿宋" w:hAnsi="仿宋" w:eastAsia="仿宋" w:cs="仿宋_GB2312"/>
                <w:bCs/>
                <w:szCs w:val="21"/>
              </w:rPr>
              <w:t>概念解读</w:t>
            </w:r>
          </w:p>
        </w:tc>
        <w:tc>
          <w:tcPr>
            <w:tcW w:w="1869" w:type="dxa"/>
            <w:vAlign w:val="center"/>
          </w:tcPr>
          <w:p>
            <w:pPr>
              <w:spacing w:line="320" w:lineRule="exact"/>
              <w:jc w:val="center"/>
              <w:rPr>
                <w:rFonts w:ascii="仿宋" w:hAnsi="仿宋" w:eastAsia="仿宋" w:cs="仿宋_GB2312"/>
                <w:bCs/>
                <w:szCs w:val="21"/>
              </w:rPr>
            </w:pPr>
            <w:r>
              <w:rPr>
                <w:rFonts w:hint="eastAsia" w:ascii="仿宋" w:hAnsi="仿宋" w:eastAsia="仿宋" w:cs="仿宋_GB2312"/>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59" w:type="dxa"/>
            <w:vMerge w:val="restart"/>
            <w:vAlign w:val="center"/>
          </w:tcPr>
          <w:p>
            <w:pPr>
              <w:spacing w:line="320" w:lineRule="exact"/>
              <w:jc w:val="center"/>
              <w:rPr>
                <w:rFonts w:ascii="仿宋" w:hAnsi="仿宋" w:eastAsia="仿宋" w:cs="仿宋_GB2312"/>
                <w:bCs/>
                <w:szCs w:val="21"/>
              </w:rPr>
            </w:pPr>
            <w:r>
              <w:rPr>
                <w:rFonts w:hint="eastAsia" w:ascii="仿宋" w:hAnsi="仿宋" w:eastAsia="仿宋" w:cs="仿宋_GB2312"/>
                <w:bCs/>
                <w:szCs w:val="21"/>
              </w:rPr>
              <w:t>总学分</w:t>
            </w:r>
          </w:p>
        </w:tc>
        <w:tc>
          <w:tcPr>
            <w:tcW w:w="867" w:type="dxa"/>
            <w:vMerge w:val="restart"/>
            <w:vAlign w:val="center"/>
          </w:tcPr>
          <w:p>
            <w:pPr>
              <w:spacing w:line="320" w:lineRule="exact"/>
              <w:jc w:val="center"/>
              <w:rPr>
                <w:rFonts w:ascii="仿宋" w:hAnsi="仿宋" w:eastAsia="仿宋" w:cs="仿宋_GB2312"/>
                <w:bCs/>
                <w:szCs w:val="21"/>
              </w:rPr>
            </w:pPr>
            <w:r>
              <w:rPr>
                <w:rFonts w:hint="eastAsia" w:ascii="仿宋" w:hAnsi="仿宋" w:eastAsia="仿宋" w:cs="仿宋_GB2312"/>
                <w:bCs/>
                <w:szCs w:val="21"/>
              </w:rPr>
              <w:t>大于总学分的</w:t>
            </w:r>
            <w:r>
              <w:rPr>
                <w:rFonts w:ascii="仿宋" w:hAnsi="仿宋" w:eastAsia="仿宋" w:cs="仿宋_GB2312"/>
                <w:bCs/>
                <w:szCs w:val="21"/>
              </w:rPr>
              <w:t>20%</w:t>
            </w:r>
          </w:p>
        </w:tc>
        <w:tc>
          <w:tcPr>
            <w:tcW w:w="900" w:type="dxa"/>
            <w:vMerge w:val="restart"/>
            <w:vAlign w:val="center"/>
          </w:tcPr>
          <w:p>
            <w:pPr>
              <w:spacing w:line="320" w:lineRule="exact"/>
              <w:jc w:val="center"/>
              <w:rPr>
                <w:rFonts w:ascii="仿宋" w:hAnsi="仿宋" w:eastAsia="仿宋" w:cs="仿宋_GB2312"/>
                <w:bCs/>
                <w:szCs w:val="21"/>
              </w:rPr>
            </w:pPr>
          </w:p>
        </w:tc>
        <w:tc>
          <w:tcPr>
            <w:tcW w:w="1080" w:type="dxa"/>
            <w:vMerge w:val="restart"/>
            <w:vAlign w:val="center"/>
          </w:tcPr>
          <w:p>
            <w:pPr>
              <w:spacing w:line="320" w:lineRule="exact"/>
              <w:jc w:val="center"/>
              <w:rPr>
                <w:rFonts w:ascii="仿宋" w:hAnsi="仿宋" w:eastAsia="仿宋" w:cs="仿宋_GB2312"/>
                <w:bCs/>
                <w:szCs w:val="21"/>
              </w:rPr>
            </w:pPr>
            <w:r>
              <w:rPr>
                <w:rFonts w:hint="eastAsia" w:ascii="仿宋" w:hAnsi="仿宋" w:eastAsia="仿宋" w:cs="仿宋_GB2312"/>
                <w:bCs/>
                <w:szCs w:val="21"/>
              </w:rPr>
              <w:t>课内教学</w:t>
            </w:r>
          </w:p>
          <w:p>
            <w:pPr>
              <w:spacing w:line="320" w:lineRule="exact"/>
              <w:rPr>
                <w:rFonts w:ascii="仿宋" w:hAnsi="仿宋" w:eastAsia="仿宋" w:cs="仿宋_GB2312"/>
                <w:bCs/>
                <w:szCs w:val="21"/>
              </w:rPr>
            </w:pPr>
            <w:r>
              <w:rPr>
                <w:rFonts w:hint="eastAsia" w:ascii="仿宋" w:hAnsi="仿宋" w:eastAsia="仿宋" w:cs="仿宋_GB2312"/>
                <w:bCs/>
                <w:szCs w:val="21"/>
              </w:rPr>
              <w:t>（</w:t>
            </w:r>
            <w:r>
              <w:rPr>
                <w:rFonts w:ascii="仿宋" w:hAnsi="仿宋" w:eastAsia="仿宋" w:cs="仿宋_GB2312"/>
                <w:bCs/>
                <w:szCs w:val="21"/>
              </w:rPr>
              <w:t>4-2</w:t>
            </w:r>
            <w:r>
              <w:rPr>
                <w:rFonts w:hint="eastAsia" w:ascii="仿宋" w:hAnsi="仿宋" w:eastAsia="仿宋" w:cs="仿宋_GB2312"/>
                <w:bCs/>
                <w:szCs w:val="21"/>
              </w:rPr>
              <w:t>）</w:t>
            </w:r>
          </w:p>
        </w:tc>
        <w:tc>
          <w:tcPr>
            <w:tcW w:w="734" w:type="dxa"/>
            <w:vMerge w:val="restart"/>
            <w:vAlign w:val="center"/>
          </w:tcPr>
          <w:p>
            <w:pPr>
              <w:spacing w:line="320" w:lineRule="exact"/>
              <w:jc w:val="center"/>
              <w:rPr>
                <w:rFonts w:ascii="仿宋" w:hAnsi="仿宋" w:eastAsia="仿宋" w:cs="仿宋_GB2312"/>
                <w:bCs/>
                <w:szCs w:val="21"/>
              </w:rPr>
            </w:pPr>
            <w:r>
              <w:rPr>
                <w:rFonts w:hint="eastAsia" w:ascii="仿宋" w:hAnsi="仿宋" w:eastAsia="仿宋" w:cs="仿宋_GB2312"/>
                <w:bCs/>
                <w:szCs w:val="21"/>
              </w:rPr>
              <w:t>理论</w:t>
            </w:r>
          </w:p>
        </w:tc>
        <w:tc>
          <w:tcPr>
            <w:tcW w:w="1306" w:type="dxa"/>
            <w:vAlign w:val="center"/>
          </w:tcPr>
          <w:p>
            <w:pPr>
              <w:spacing w:line="320" w:lineRule="exact"/>
              <w:jc w:val="center"/>
              <w:rPr>
                <w:rFonts w:ascii="仿宋" w:hAnsi="仿宋" w:eastAsia="仿宋" w:cs="仿宋_GB2312"/>
                <w:bCs/>
                <w:szCs w:val="21"/>
              </w:rPr>
            </w:pPr>
            <w:r>
              <w:rPr>
                <w:rFonts w:hint="eastAsia" w:ascii="仿宋" w:hAnsi="仿宋" w:eastAsia="仿宋" w:cs="仿宋_GB2312"/>
                <w:bCs/>
                <w:szCs w:val="21"/>
              </w:rPr>
              <w:t>专业理论课</w:t>
            </w:r>
          </w:p>
        </w:tc>
        <w:tc>
          <w:tcPr>
            <w:tcW w:w="1841" w:type="dxa"/>
            <w:vAlign w:val="center"/>
          </w:tcPr>
          <w:p>
            <w:pPr>
              <w:spacing w:line="320" w:lineRule="exact"/>
              <w:jc w:val="left"/>
              <w:rPr>
                <w:rFonts w:ascii="仿宋" w:hAnsi="仿宋" w:eastAsia="仿宋" w:cs="仿宋_GB2312"/>
                <w:bCs/>
                <w:szCs w:val="21"/>
              </w:rPr>
            </w:pPr>
            <w:r>
              <w:rPr>
                <w:rFonts w:hint="eastAsia" w:ascii="仿宋" w:hAnsi="仿宋" w:eastAsia="仿宋" w:cs="仿宋_GB2312"/>
                <w:bCs/>
                <w:szCs w:val="21"/>
              </w:rPr>
              <w:t>指艺术理论教学课程。</w:t>
            </w:r>
          </w:p>
        </w:tc>
        <w:tc>
          <w:tcPr>
            <w:tcW w:w="1869" w:type="dxa"/>
            <w:vMerge w:val="restart"/>
            <w:vAlign w:val="center"/>
          </w:tcPr>
          <w:p>
            <w:pPr>
              <w:spacing w:line="320" w:lineRule="exact"/>
              <w:jc w:val="left"/>
              <w:rPr>
                <w:rFonts w:ascii="仿宋" w:hAnsi="仿宋" w:eastAsia="仿宋" w:cs="仿宋_GB2312"/>
                <w:bCs/>
                <w:szCs w:val="21"/>
              </w:rPr>
            </w:pPr>
            <w:r>
              <w:rPr>
                <w:rFonts w:hint="eastAsia" w:ascii="仿宋" w:hAnsi="仿宋" w:eastAsia="仿宋" w:cs="仿宋_GB2312"/>
                <w:bCs/>
                <w:szCs w:val="21"/>
              </w:rPr>
              <w:t>“理论课”：包括理论教学、课内实践。（</w:t>
            </w:r>
            <w:r>
              <w:rPr>
                <w:rFonts w:ascii="仿宋" w:hAnsi="仿宋" w:eastAsia="仿宋" w:cs="仿宋_GB2312"/>
                <w:bCs/>
                <w:szCs w:val="21"/>
              </w:rPr>
              <w:t>5-1-1</w:t>
            </w:r>
            <w:r>
              <w:rPr>
                <w:rFonts w:hint="eastAsia" w:ascii="仿宋" w:hAnsi="仿宋" w:eastAsia="仿宋" w:cs="仿宋_GB2312"/>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59" w:type="dxa"/>
            <w:vMerge w:val="continue"/>
            <w:vAlign w:val="center"/>
          </w:tcPr>
          <w:p>
            <w:pPr>
              <w:spacing w:line="320" w:lineRule="exact"/>
              <w:jc w:val="center"/>
              <w:rPr>
                <w:rFonts w:ascii="仿宋" w:hAnsi="仿宋" w:eastAsia="仿宋" w:cs="仿宋_GB2312"/>
                <w:bCs/>
                <w:szCs w:val="21"/>
              </w:rPr>
            </w:pPr>
          </w:p>
        </w:tc>
        <w:tc>
          <w:tcPr>
            <w:tcW w:w="867" w:type="dxa"/>
            <w:vMerge w:val="continue"/>
            <w:vAlign w:val="center"/>
          </w:tcPr>
          <w:p>
            <w:pPr>
              <w:spacing w:line="320" w:lineRule="exact"/>
              <w:jc w:val="center"/>
              <w:rPr>
                <w:rFonts w:ascii="仿宋" w:hAnsi="仿宋" w:eastAsia="仿宋" w:cs="仿宋_GB2312"/>
                <w:bCs/>
                <w:szCs w:val="21"/>
              </w:rPr>
            </w:pPr>
          </w:p>
        </w:tc>
        <w:tc>
          <w:tcPr>
            <w:tcW w:w="900" w:type="dxa"/>
            <w:vMerge w:val="continue"/>
            <w:vAlign w:val="center"/>
          </w:tcPr>
          <w:p>
            <w:pPr>
              <w:spacing w:line="320" w:lineRule="exact"/>
              <w:jc w:val="center"/>
              <w:rPr>
                <w:rFonts w:ascii="仿宋" w:hAnsi="仿宋" w:eastAsia="仿宋" w:cs="仿宋_GB2312"/>
                <w:bCs/>
                <w:szCs w:val="21"/>
              </w:rPr>
            </w:pPr>
          </w:p>
        </w:tc>
        <w:tc>
          <w:tcPr>
            <w:tcW w:w="1080" w:type="dxa"/>
            <w:vMerge w:val="continue"/>
            <w:vAlign w:val="center"/>
          </w:tcPr>
          <w:p>
            <w:pPr>
              <w:spacing w:line="320" w:lineRule="exact"/>
              <w:jc w:val="center"/>
              <w:rPr>
                <w:rFonts w:ascii="仿宋" w:hAnsi="仿宋" w:eastAsia="仿宋" w:cs="仿宋_GB2312"/>
                <w:bCs/>
                <w:szCs w:val="21"/>
              </w:rPr>
            </w:pPr>
          </w:p>
        </w:tc>
        <w:tc>
          <w:tcPr>
            <w:tcW w:w="734" w:type="dxa"/>
            <w:vMerge w:val="continue"/>
            <w:vAlign w:val="center"/>
          </w:tcPr>
          <w:p>
            <w:pPr>
              <w:spacing w:line="320" w:lineRule="exact"/>
              <w:jc w:val="center"/>
              <w:rPr>
                <w:rFonts w:ascii="仿宋" w:hAnsi="仿宋" w:eastAsia="仿宋" w:cs="仿宋_GB2312"/>
                <w:bCs/>
                <w:szCs w:val="21"/>
              </w:rPr>
            </w:pPr>
          </w:p>
        </w:tc>
        <w:tc>
          <w:tcPr>
            <w:tcW w:w="1306" w:type="dxa"/>
            <w:vAlign w:val="center"/>
          </w:tcPr>
          <w:p>
            <w:pPr>
              <w:spacing w:line="320" w:lineRule="exact"/>
              <w:jc w:val="center"/>
              <w:rPr>
                <w:rFonts w:ascii="仿宋" w:hAnsi="仿宋" w:eastAsia="仿宋" w:cs="仿宋_GB2312"/>
                <w:bCs/>
                <w:szCs w:val="21"/>
              </w:rPr>
            </w:pPr>
            <w:r>
              <w:rPr>
                <w:rFonts w:hint="eastAsia" w:ascii="仿宋" w:hAnsi="仿宋" w:eastAsia="仿宋" w:cs="仿宋_GB2312"/>
                <w:bCs/>
                <w:szCs w:val="21"/>
              </w:rPr>
              <w:t>理论与技能结合课</w:t>
            </w:r>
          </w:p>
        </w:tc>
        <w:tc>
          <w:tcPr>
            <w:tcW w:w="1841" w:type="dxa"/>
            <w:vAlign w:val="center"/>
          </w:tcPr>
          <w:p>
            <w:pPr>
              <w:spacing w:line="320" w:lineRule="exact"/>
              <w:jc w:val="left"/>
              <w:rPr>
                <w:rFonts w:ascii="仿宋" w:hAnsi="仿宋" w:eastAsia="仿宋" w:cs="仿宋_GB2312"/>
                <w:bCs/>
                <w:szCs w:val="21"/>
              </w:rPr>
            </w:pPr>
            <w:r>
              <w:rPr>
                <w:rFonts w:hint="eastAsia" w:ascii="仿宋" w:hAnsi="仿宋" w:eastAsia="仿宋" w:cs="仿宋_GB2312"/>
                <w:bCs/>
                <w:szCs w:val="21"/>
              </w:rPr>
              <w:t>包含理论讲解及用少量课内实践来学习、验证理论的课程。</w:t>
            </w:r>
          </w:p>
        </w:tc>
        <w:tc>
          <w:tcPr>
            <w:tcW w:w="1869" w:type="dxa"/>
            <w:vMerge w:val="continue"/>
            <w:vAlign w:val="center"/>
          </w:tcPr>
          <w:p>
            <w:pPr>
              <w:spacing w:line="320" w:lineRule="exact"/>
              <w:jc w:val="left"/>
              <w:rPr>
                <w:rFonts w:ascii="仿宋" w:hAnsi="仿宋"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59" w:type="dxa"/>
            <w:vMerge w:val="continue"/>
            <w:vAlign w:val="center"/>
          </w:tcPr>
          <w:p>
            <w:pPr>
              <w:spacing w:line="320" w:lineRule="exact"/>
              <w:jc w:val="center"/>
              <w:rPr>
                <w:rFonts w:ascii="仿宋" w:hAnsi="仿宋" w:eastAsia="仿宋" w:cs="仿宋_GB2312"/>
                <w:bCs/>
                <w:szCs w:val="21"/>
              </w:rPr>
            </w:pPr>
          </w:p>
        </w:tc>
        <w:tc>
          <w:tcPr>
            <w:tcW w:w="867" w:type="dxa"/>
            <w:vMerge w:val="restart"/>
            <w:vAlign w:val="center"/>
          </w:tcPr>
          <w:p>
            <w:pPr>
              <w:spacing w:line="320" w:lineRule="exact"/>
              <w:jc w:val="center"/>
              <w:rPr>
                <w:rFonts w:ascii="仿宋" w:hAnsi="仿宋" w:eastAsia="仿宋" w:cs="仿宋_GB2312"/>
                <w:bCs/>
                <w:szCs w:val="21"/>
              </w:rPr>
            </w:pPr>
            <w:r>
              <w:rPr>
                <w:rFonts w:hint="eastAsia" w:ascii="仿宋" w:hAnsi="仿宋" w:eastAsia="仿宋" w:cs="仿宋_GB2312"/>
                <w:bCs/>
                <w:szCs w:val="21"/>
              </w:rPr>
              <w:t>（</w:t>
            </w:r>
            <w:r>
              <w:rPr>
                <w:rFonts w:ascii="仿宋" w:hAnsi="仿宋" w:eastAsia="仿宋" w:cs="仿宋_GB2312"/>
                <w:bCs/>
                <w:szCs w:val="21"/>
              </w:rPr>
              <w:t>P72</w:t>
            </w:r>
            <w:r>
              <w:rPr>
                <w:rFonts w:hint="eastAsia" w:ascii="仿宋" w:hAnsi="仿宋" w:eastAsia="仿宋" w:cs="仿宋_GB2312"/>
                <w:bCs/>
                <w:szCs w:val="21"/>
              </w:rPr>
              <w:t>）该类别要大于总学分的</w:t>
            </w:r>
            <w:r>
              <w:rPr>
                <w:rFonts w:ascii="仿宋" w:hAnsi="仿宋" w:eastAsia="仿宋" w:cs="仿宋_GB2312"/>
                <w:bCs/>
                <w:szCs w:val="21"/>
              </w:rPr>
              <w:t>20%</w:t>
            </w:r>
          </w:p>
        </w:tc>
        <w:tc>
          <w:tcPr>
            <w:tcW w:w="900" w:type="dxa"/>
            <w:vMerge w:val="restart"/>
            <w:vAlign w:val="center"/>
          </w:tcPr>
          <w:p>
            <w:pPr>
              <w:spacing w:line="320" w:lineRule="exact"/>
              <w:jc w:val="center"/>
              <w:rPr>
                <w:rFonts w:ascii="仿宋" w:hAnsi="仿宋" w:eastAsia="仿宋" w:cs="仿宋_GB2312"/>
                <w:bCs/>
                <w:szCs w:val="21"/>
              </w:rPr>
            </w:pPr>
            <w:r>
              <w:rPr>
                <w:rFonts w:hint="eastAsia" w:ascii="仿宋" w:hAnsi="仿宋" w:eastAsia="仿宋" w:cs="仿宋_GB2312"/>
                <w:bCs/>
                <w:szCs w:val="21"/>
              </w:rPr>
              <w:t>实践教学环节（</w:t>
            </w:r>
            <w:r>
              <w:rPr>
                <w:rFonts w:ascii="仿宋" w:hAnsi="仿宋" w:eastAsia="仿宋" w:cs="仿宋_GB2312"/>
                <w:bCs/>
                <w:szCs w:val="21"/>
              </w:rPr>
              <w:t>4.1 P32</w:t>
            </w:r>
            <w:r>
              <w:rPr>
                <w:rFonts w:hint="eastAsia" w:ascii="仿宋" w:hAnsi="仿宋" w:eastAsia="仿宋" w:cs="仿宋_GB2312"/>
                <w:bCs/>
                <w:szCs w:val="21"/>
              </w:rPr>
              <w:t>）</w:t>
            </w:r>
          </w:p>
        </w:tc>
        <w:tc>
          <w:tcPr>
            <w:tcW w:w="1080" w:type="dxa"/>
            <w:vMerge w:val="restart"/>
            <w:vAlign w:val="center"/>
          </w:tcPr>
          <w:p>
            <w:pPr>
              <w:spacing w:line="320" w:lineRule="exact"/>
              <w:jc w:val="center"/>
              <w:rPr>
                <w:rFonts w:ascii="仿宋" w:hAnsi="仿宋" w:eastAsia="仿宋" w:cs="仿宋_GB2312"/>
                <w:bCs/>
                <w:szCs w:val="21"/>
              </w:rPr>
            </w:pPr>
            <w:r>
              <w:rPr>
                <w:rFonts w:hint="eastAsia" w:ascii="仿宋" w:hAnsi="仿宋" w:eastAsia="仿宋" w:cs="仿宋_GB2312"/>
                <w:bCs/>
                <w:szCs w:val="21"/>
              </w:rPr>
              <w:t>集中实践教学环节（</w:t>
            </w:r>
            <w:r>
              <w:rPr>
                <w:rFonts w:ascii="仿宋" w:hAnsi="仿宋" w:eastAsia="仿宋" w:cs="仿宋_GB2312"/>
                <w:bCs/>
                <w:szCs w:val="21"/>
              </w:rPr>
              <w:t>4-2</w:t>
            </w:r>
            <w:r>
              <w:rPr>
                <w:rFonts w:hint="eastAsia" w:ascii="仿宋" w:hAnsi="仿宋" w:eastAsia="仿宋" w:cs="仿宋_GB2312"/>
                <w:bCs/>
                <w:szCs w:val="21"/>
              </w:rPr>
              <w:t>）</w:t>
            </w:r>
          </w:p>
        </w:tc>
        <w:tc>
          <w:tcPr>
            <w:tcW w:w="734" w:type="dxa"/>
            <w:vAlign w:val="center"/>
          </w:tcPr>
          <w:p>
            <w:pPr>
              <w:spacing w:line="320" w:lineRule="exact"/>
              <w:jc w:val="center"/>
              <w:rPr>
                <w:rFonts w:ascii="仿宋" w:hAnsi="仿宋" w:eastAsia="仿宋" w:cs="仿宋_GB2312"/>
                <w:bCs/>
                <w:szCs w:val="21"/>
              </w:rPr>
            </w:pPr>
            <w:r>
              <w:rPr>
                <w:rFonts w:hint="eastAsia" w:ascii="仿宋" w:hAnsi="仿宋" w:eastAsia="仿宋" w:cs="仿宋_GB2312"/>
                <w:bCs/>
                <w:szCs w:val="21"/>
              </w:rPr>
              <w:t>实践</w:t>
            </w:r>
          </w:p>
        </w:tc>
        <w:tc>
          <w:tcPr>
            <w:tcW w:w="1306" w:type="dxa"/>
            <w:vAlign w:val="center"/>
          </w:tcPr>
          <w:p>
            <w:pPr>
              <w:spacing w:line="320" w:lineRule="exact"/>
              <w:jc w:val="center"/>
              <w:rPr>
                <w:rFonts w:ascii="仿宋" w:hAnsi="仿宋" w:eastAsia="仿宋" w:cs="仿宋_GB2312"/>
                <w:bCs/>
                <w:szCs w:val="21"/>
              </w:rPr>
            </w:pPr>
            <w:r>
              <w:rPr>
                <w:rFonts w:hint="eastAsia" w:ascii="仿宋" w:hAnsi="仿宋" w:eastAsia="仿宋" w:cs="仿宋_GB2312"/>
                <w:bCs/>
                <w:szCs w:val="21"/>
              </w:rPr>
              <w:t>专业技能课</w:t>
            </w:r>
          </w:p>
        </w:tc>
        <w:tc>
          <w:tcPr>
            <w:tcW w:w="1841" w:type="dxa"/>
            <w:vAlign w:val="center"/>
          </w:tcPr>
          <w:p>
            <w:pPr>
              <w:spacing w:line="320" w:lineRule="exact"/>
              <w:jc w:val="left"/>
              <w:rPr>
                <w:rFonts w:ascii="仿宋" w:hAnsi="仿宋" w:eastAsia="仿宋" w:cs="仿宋_GB2312"/>
                <w:bCs/>
                <w:szCs w:val="21"/>
              </w:rPr>
            </w:pPr>
            <w:r>
              <w:rPr>
                <w:rFonts w:hint="eastAsia" w:ascii="仿宋" w:hAnsi="仿宋" w:eastAsia="仿宋" w:cs="仿宋_GB2312"/>
                <w:bCs/>
                <w:szCs w:val="21"/>
              </w:rPr>
              <w:t>教学计划内的主要进行技能、技法教学的课程。</w:t>
            </w:r>
          </w:p>
        </w:tc>
        <w:tc>
          <w:tcPr>
            <w:tcW w:w="1869" w:type="dxa"/>
            <w:vAlign w:val="center"/>
          </w:tcPr>
          <w:p>
            <w:pPr>
              <w:spacing w:line="320" w:lineRule="exact"/>
              <w:jc w:val="left"/>
              <w:rPr>
                <w:rFonts w:ascii="仿宋" w:hAnsi="仿宋"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59" w:type="dxa"/>
            <w:vMerge w:val="continue"/>
            <w:vAlign w:val="center"/>
          </w:tcPr>
          <w:p>
            <w:pPr>
              <w:spacing w:line="320" w:lineRule="exact"/>
              <w:jc w:val="center"/>
              <w:rPr>
                <w:rFonts w:ascii="仿宋" w:hAnsi="仿宋" w:eastAsia="仿宋" w:cs="仿宋_GB2312"/>
                <w:bCs/>
                <w:szCs w:val="21"/>
              </w:rPr>
            </w:pPr>
          </w:p>
        </w:tc>
        <w:tc>
          <w:tcPr>
            <w:tcW w:w="867" w:type="dxa"/>
            <w:vMerge w:val="continue"/>
            <w:vAlign w:val="center"/>
          </w:tcPr>
          <w:p>
            <w:pPr>
              <w:spacing w:line="320" w:lineRule="exact"/>
              <w:jc w:val="center"/>
              <w:rPr>
                <w:rFonts w:ascii="仿宋" w:hAnsi="仿宋" w:eastAsia="仿宋" w:cs="仿宋_GB2312"/>
                <w:bCs/>
                <w:szCs w:val="21"/>
              </w:rPr>
            </w:pPr>
          </w:p>
        </w:tc>
        <w:tc>
          <w:tcPr>
            <w:tcW w:w="900" w:type="dxa"/>
            <w:vMerge w:val="continue"/>
            <w:vAlign w:val="center"/>
          </w:tcPr>
          <w:p>
            <w:pPr>
              <w:spacing w:line="320" w:lineRule="exact"/>
              <w:jc w:val="center"/>
              <w:rPr>
                <w:rFonts w:ascii="仿宋" w:hAnsi="仿宋" w:eastAsia="仿宋" w:cs="仿宋_GB2312"/>
                <w:bCs/>
                <w:szCs w:val="21"/>
              </w:rPr>
            </w:pPr>
          </w:p>
        </w:tc>
        <w:tc>
          <w:tcPr>
            <w:tcW w:w="1080" w:type="dxa"/>
            <w:vMerge w:val="continue"/>
            <w:vAlign w:val="center"/>
          </w:tcPr>
          <w:p>
            <w:pPr>
              <w:spacing w:line="320" w:lineRule="exact"/>
              <w:jc w:val="center"/>
              <w:rPr>
                <w:rFonts w:ascii="仿宋" w:hAnsi="仿宋" w:eastAsia="仿宋" w:cs="仿宋_GB2312"/>
                <w:bCs/>
                <w:szCs w:val="21"/>
              </w:rPr>
            </w:pPr>
          </w:p>
        </w:tc>
        <w:tc>
          <w:tcPr>
            <w:tcW w:w="734" w:type="dxa"/>
            <w:vAlign w:val="center"/>
          </w:tcPr>
          <w:p>
            <w:pPr>
              <w:spacing w:line="320" w:lineRule="exact"/>
              <w:jc w:val="center"/>
              <w:rPr>
                <w:rFonts w:ascii="仿宋" w:hAnsi="仿宋" w:eastAsia="仿宋" w:cs="仿宋_GB2312"/>
                <w:bCs/>
                <w:szCs w:val="21"/>
              </w:rPr>
            </w:pPr>
            <w:r>
              <w:rPr>
                <w:rFonts w:hint="eastAsia" w:ascii="仿宋" w:hAnsi="仿宋" w:eastAsia="仿宋" w:cs="仿宋_GB2312"/>
                <w:bCs/>
                <w:szCs w:val="21"/>
              </w:rPr>
              <w:t>实践</w:t>
            </w:r>
          </w:p>
        </w:tc>
        <w:tc>
          <w:tcPr>
            <w:tcW w:w="1306" w:type="dxa"/>
            <w:vAlign w:val="center"/>
          </w:tcPr>
          <w:p>
            <w:pPr>
              <w:spacing w:line="320" w:lineRule="exact"/>
              <w:jc w:val="center"/>
              <w:rPr>
                <w:rFonts w:ascii="仿宋" w:hAnsi="仿宋" w:eastAsia="仿宋" w:cs="仿宋_GB2312"/>
                <w:bCs/>
                <w:szCs w:val="21"/>
              </w:rPr>
            </w:pPr>
            <w:r>
              <w:rPr>
                <w:rFonts w:hint="eastAsia" w:ascii="仿宋" w:hAnsi="仿宋" w:eastAsia="仿宋" w:cs="仿宋_GB2312"/>
                <w:bCs/>
                <w:szCs w:val="21"/>
              </w:rPr>
              <w:t>专业实践课</w:t>
            </w:r>
          </w:p>
        </w:tc>
        <w:tc>
          <w:tcPr>
            <w:tcW w:w="1841" w:type="dxa"/>
            <w:vAlign w:val="center"/>
          </w:tcPr>
          <w:p>
            <w:pPr>
              <w:spacing w:line="320" w:lineRule="exact"/>
              <w:jc w:val="left"/>
              <w:rPr>
                <w:rFonts w:ascii="仿宋" w:hAnsi="仿宋" w:eastAsia="仿宋" w:cs="仿宋_GB2312"/>
                <w:bCs/>
                <w:szCs w:val="21"/>
              </w:rPr>
            </w:pPr>
            <w:r>
              <w:rPr>
                <w:rFonts w:hint="eastAsia" w:ascii="仿宋" w:hAnsi="仿宋" w:eastAsia="仿宋" w:cs="仿宋_GB2312"/>
                <w:bCs/>
                <w:szCs w:val="21"/>
              </w:rPr>
              <w:t>指专业考察、写生、采风、创作、技能训练、毕业论文、毕业展演、文案综述等教学计划内的在教师的带领下集中实施的实践教学活动。</w:t>
            </w:r>
          </w:p>
        </w:tc>
        <w:tc>
          <w:tcPr>
            <w:tcW w:w="1869" w:type="dxa"/>
            <w:vAlign w:val="center"/>
          </w:tcPr>
          <w:p>
            <w:pPr>
              <w:spacing w:line="320" w:lineRule="exact"/>
              <w:jc w:val="left"/>
              <w:rPr>
                <w:rFonts w:ascii="仿宋" w:hAnsi="仿宋" w:eastAsia="仿宋" w:cs="仿宋_GB2312"/>
                <w:bCs/>
                <w:szCs w:val="21"/>
              </w:rPr>
            </w:pPr>
            <w:r>
              <w:rPr>
                <w:rFonts w:hint="eastAsia" w:ascii="仿宋" w:hAnsi="仿宋" w:eastAsia="仿宋" w:cs="仿宋_GB2312"/>
                <w:bCs/>
                <w:szCs w:val="21"/>
              </w:rPr>
              <w:t>此类课程应全部填写在“艺术实践”课程分类中。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459" w:type="dxa"/>
            <w:vMerge w:val="continue"/>
            <w:vAlign w:val="center"/>
          </w:tcPr>
          <w:p>
            <w:pPr>
              <w:spacing w:line="320" w:lineRule="exact"/>
              <w:jc w:val="center"/>
              <w:rPr>
                <w:rFonts w:ascii="仿宋" w:hAnsi="仿宋" w:eastAsia="仿宋" w:cs="仿宋_GB2312"/>
                <w:bCs/>
                <w:szCs w:val="21"/>
              </w:rPr>
            </w:pPr>
          </w:p>
        </w:tc>
        <w:tc>
          <w:tcPr>
            <w:tcW w:w="867" w:type="dxa"/>
            <w:vMerge w:val="continue"/>
            <w:vAlign w:val="center"/>
          </w:tcPr>
          <w:p>
            <w:pPr>
              <w:spacing w:line="320" w:lineRule="exact"/>
              <w:jc w:val="center"/>
              <w:rPr>
                <w:rFonts w:ascii="仿宋" w:hAnsi="仿宋" w:eastAsia="仿宋" w:cs="仿宋_GB2312"/>
                <w:bCs/>
                <w:szCs w:val="21"/>
              </w:rPr>
            </w:pPr>
          </w:p>
        </w:tc>
        <w:tc>
          <w:tcPr>
            <w:tcW w:w="900" w:type="dxa"/>
            <w:vMerge w:val="continue"/>
            <w:vAlign w:val="center"/>
          </w:tcPr>
          <w:p>
            <w:pPr>
              <w:spacing w:line="320" w:lineRule="exact"/>
              <w:jc w:val="center"/>
              <w:rPr>
                <w:rFonts w:ascii="仿宋" w:hAnsi="仿宋" w:eastAsia="仿宋" w:cs="仿宋_GB2312"/>
                <w:bCs/>
                <w:szCs w:val="21"/>
              </w:rPr>
            </w:pPr>
          </w:p>
        </w:tc>
        <w:tc>
          <w:tcPr>
            <w:tcW w:w="1080" w:type="dxa"/>
            <w:vMerge w:val="restart"/>
            <w:vAlign w:val="center"/>
          </w:tcPr>
          <w:p>
            <w:pPr>
              <w:spacing w:line="320" w:lineRule="exact"/>
              <w:jc w:val="center"/>
              <w:rPr>
                <w:rFonts w:ascii="仿宋" w:hAnsi="仿宋" w:eastAsia="仿宋" w:cs="仿宋_GB2312"/>
                <w:bCs/>
                <w:szCs w:val="21"/>
              </w:rPr>
            </w:pPr>
            <w:r>
              <w:rPr>
                <w:rFonts w:hint="eastAsia" w:ascii="仿宋" w:hAnsi="仿宋" w:eastAsia="仿宋" w:cs="仿宋_GB2312"/>
                <w:bCs/>
                <w:szCs w:val="21"/>
              </w:rPr>
              <w:t>实验教学</w:t>
            </w:r>
          </w:p>
          <w:p>
            <w:pPr>
              <w:spacing w:line="320" w:lineRule="exact"/>
              <w:jc w:val="center"/>
              <w:rPr>
                <w:rFonts w:ascii="仿宋" w:hAnsi="仿宋" w:eastAsia="仿宋" w:cs="仿宋_GB2312"/>
                <w:bCs/>
                <w:szCs w:val="21"/>
              </w:rPr>
            </w:pPr>
            <w:r>
              <w:rPr>
                <w:rFonts w:hint="eastAsia" w:ascii="仿宋" w:hAnsi="仿宋" w:eastAsia="仿宋" w:cs="仿宋_GB2312"/>
                <w:bCs/>
                <w:szCs w:val="21"/>
              </w:rPr>
              <w:t>（</w:t>
            </w:r>
            <w:r>
              <w:rPr>
                <w:rFonts w:ascii="仿宋" w:hAnsi="仿宋" w:eastAsia="仿宋" w:cs="仿宋_GB2312"/>
                <w:bCs/>
                <w:szCs w:val="21"/>
              </w:rPr>
              <w:t>4-2</w:t>
            </w:r>
            <w:r>
              <w:rPr>
                <w:rFonts w:hint="eastAsia" w:ascii="仿宋" w:hAnsi="仿宋" w:eastAsia="仿宋" w:cs="仿宋_GB2312"/>
                <w:bCs/>
                <w:szCs w:val="21"/>
              </w:rPr>
              <w:t>）</w:t>
            </w:r>
          </w:p>
        </w:tc>
        <w:tc>
          <w:tcPr>
            <w:tcW w:w="734" w:type="dxa"/>
            <w:vMerge w:val="restart"/>
            <w:vAlign w:val="center"/>
          </w:tcPr>
          <w:p>
            <w:pPr>
              <w:spacing w:line="320" w:lineRule="exact"/>
              <w:jc w:val="center"/>
              <w:rPr>
                <w:rFonts w:ascii="仿宋" w:hAnsi="仿宋" w:eastAsia="仿宋" w:cs="仿宋_GB2312"/>
                <w:bCs/>
                <w:szCs w:val="21"/>
              </w:rPr>
            </w:pPr>
            <w:r>
              <w:rPr>
                <w:rFonts w:hint="eastAsia" w:ascii="仿宋" w:hAnsi="仿宋" w:eastAsia="仿宋" w:cs="仿宋_GB2312"/>
                <w:bCs/>
                <w:szCs w:val="21"/>
              </w:rPr>
              <w:t>实验</w:t>
            </w:r>
          </w:p>
        </w:tc>
        <w:tc>
          <w:tcPr>
            <w:tcW w:w="1306" w:type="dxa"/>
            <w:vAlign w:val="center"/>
          </w:tcPr>
          <w:p>
            <w:pPr>
              <w:spacing w:line="320" w:lineRule="exact"/>
              <w:jc w:val="center"/>
              <w:rPr>
                <w:rFonts w:ascii="仿宋" w:hAnsi="仿宋" w:eastAsia="仿宋" w:cs="仿宋_GB2312"/>
                <w:bCs/>
                <w:szCs w:val="21"/>
              </w:rPr>
            </w:pPr>
            <w:r>
              <w:rPr>
                <w:rFonts w:hint="eastAsia" w:ascii="仿宋" w:hAnsi="仿宋" w:eastAsia="仿宋" w:cs="仿宋_GB2312"/>
                <w:bCs/>
                <w:szCs w:val="21"/>
              </w:rPr>
              <w:t>课内实验课</w:t>
            </w:r>
          </w:p>
        </w:tc>
        <w:tc>
          <w:tcPr>
            <w:tcW w:w="1841" w:type="dxa"/>
            <w:vAlign w:val="center"/>
          </w:tcPr>
          <w:p>
            <w:pPr>
              <w:spacing w:line="320" w:lineRule="exact"/>
              <w:jc w:val="left"/>
              <w:rPr>
                <w:rFonts w:ascii="仿宋" w:hAnsi="仿宋" w:eastAsia="仿宋" w:cs="仿宋_GB2312"/>
                <w:bCs/>
                <w:szCs w:val="21"/>
              </w:rPr>
            </w:pPr>
            <w:r>
              <w:rPr>
                <w:rFonts w:hint="eastAsia" w:ascii="仿宋" w:hAnsi="仿宋" w:eastAsia="仿宋" w:cs="仿宋_GB2312"/>
                <w:bCs/>
                <w:szCs w:val="21"/>
              </w:rPr>
              <w:t>指“课内实验教学”（</w:t>
            </w:r>
            <w:r>
              <w:rPr>
                <w:rFonts w:ascii="仿宋" w:hAnsi="仿宋" w:eastAsia="仿宋" w:cs="仿宋_GB2312"/>
                <w:bCs/>
                <w:szCs w:val="21"/>
              </w:rPr>
              <w:t>4-2</w:t>
            </w:r>
            <w:r>
              <w:rPr>
                <w:rFonts w:hint="eastAsia" w:ascii="仿宋" w:hAnsi="仿宋" w:eastAsia="仿宋" w:cs="仿宋_GB2312"/>
                <w:bCs/>
                <w:szCs w:val="21"/>
              </w:rPr>
              <w:t>），即理论与实验结合课。</w:t>
            </w:r>
          </w:p>
        </w:tc>
        <w:tc>
          <w:tcPr>
            <w:tcW w:w="1869" w:type="dxa"/>
            <w:vMerge w:val="restart"/>
            <w:vAlign w:val="center"/>
          </w:tcPr>
          <w:p>
            <w:pPr>
              <w:spacing w:line="320" w:lineRule="exact"/>
              <w:jc w:val="left"/>
              <w:rPr>
                <w:rFonts w:ascii="仿宋" w:hAnsi="仿宋" w:eastAsia="仿宋" w:cs="仿宋_GB2312"/>
                <w:bCs/>
                <w:szCs w:val="21"/>
              </w:rPr>
            </w:pPr>
            <w:r>
              <w:rPr>
                <w:rFonts w:hint="eastAsia" w:ascii="仿宋" w:hAnsi="仿宋" w:eastAsia="仿宋" w:cs="仿宋_GB2312"/>
                <w:bCs/>
                <w:szCs w:val="21"/>
              </w:rPr>
              <w:t>“实验教学”：（</w:t>
            </w:r>
            <w:r>
              <w:rPr>
                <w:rFonts w:ascii="仿宋" w:hAnsi="仿宋" w:eastAsia="仿宋" w:cs="仿宋_GB2312"/>
                <w:bCs/>
                <w:szCs w:val="21"/>
              </w:rPr>
              <w:t>4-2</w:t>
            </w:r>
            <w:r>
              <w:rPr>
                <w:rFonts w:hint="eastAsia" w:ascii="仿宋" w:hAnsi="仿宋" w:eastAsia="仿宋" w:cs="仿宋_GB2312"/>
                <w:bCs/>
                <w:szCs w:val="21"/>
              </w:rPr>
              <w:t>）各专业培养计划所规定的实验教学活动（包括课内实验教学）的毕业最低总学时、总学分数。（我校将其定义为，在专业实验室上课，并使用实验室设备进行教学的课程。）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59" w:type="dxa"/>
            <w:vMerge w:val="continue"/>
            <w:vAlign w:val="center"/>
          </w:tcPr>
          <w:p>
            <w:pPr>
              <w:spacing w:line="320" w:lineRule="exact"/>
              <w:jc w:val="center"/>
              <w:rPr>
                <w:rFonts w:ascii="仿宋" w:hAnsi="仿宋" w:eastAsia="仿宋" w:cs="仿宋_GB2312"/>
                <w:bCs/>
                <w:szCs w:val="21"/>
              </w:rPr>
            </w:pPr>
          </w:p>
        </w:tc>
        <w:tc>
          <w:tcPr>
            <w:tcW w:w="867" w:type="dxa"/>
            <w:vMerge w:val="continue"/>
            <w:vAlign w:val="center"/>
          </w:tcPr>
          <w:p>
            <w:pPr>
              <w:spacing w:line="320" w:lineRule="exact"/>
              <w:jc w:val="center"/>
              <w:rPr>
                <w:rFonts w:ascii="仿宋" w:hAnsi="仿宋" w:eastAsia="仿宋" w:cs="仿宋_GB2312"/>
                <w:bCs/>
                <w:szCs w:val="21"/>
              </w:rPr>
            </w:pPr>
          </w:p>
        </w:tc>
        <w:tc>
          <w:tcPr>
            <w:tcW w:w="900" w:type="dxa"/>
            <w:vMerge w:val="continue"/>
            <w:vAlign w:val="center"/>
          </w:tcPr>
          <w:p>
            <w:pPr>
              <w:spacing w:line="320" w:lineRule="exact"/>
              <w:jc w:val="center"/>
              <w:rPr>
                <w:rFonts w:ascii="仿宋" w:hAnsi="仿宋" w:eastAsia="仿宋" w:cs="仿宋_GB2312"/>
                <w:bCs/>
                <w:szCs w:val="21"/>
              </w:rPr>
            </w:pPr>
          </w:p>
        </w:tc>
        <w:tc>
          <w:tcPr>
            <w:tcW w:w="1080" w:type="dxa"/>
            <w:vMerge w:val="continue"/>
            <w:vAlign w:val="center"/>
          </w:tcPr>
          <w:p>
            <w:pPr>
              <w:spacing w:line="320" w:lineRule="exact"/>
              <w:jc w:val="center"/>
              <w:rPr>
                <w:rFonts w:ascii="仿宋" w:hAnsi="仿宋" w:eastAsia="仿宋" w:cs="仿宋_GB2312"/>
                <w:bCs/>
                <w:szCs w:val="21"/>
              </w:rPr>
            </w:pPr>
          </w:p>
        </w:tc>
        <w:tc>
          <w:tcPr>
            <w:tcW w:w="734" w:type="dxa"/>
            <w:vMerge w:val="continue"/>
            <w:vAlign w:val="center"/>
          </w:tcPr>
          <w:p>
            <w:pPr>
              <w:spacing w:line="320" w:lineRule="exact"/>
              <w:jc w:val="center"/>
              <w:rPr>
                <w:rFonts w:ascii="仿宋" w:hAnsi="仿宋" w:eastAsia="仿宋" w:cs="仿宋_GB2312"/>
                <w:bCs/>
                <w:szCs w:val="21"/>
              </w:rPr>
            </w:pPr>
          </w:p>
        </w:tc>
        <w:tc>
          <w:tcPr>
            <w:tcW w:w="1306" w:type="dxa"/>
            <w:vAlign w:val="center"/>
          </w:tcPr>
          <w:p>
            <w:pPr>
              <w:spacing w:line="320" w:lineRule="exact"/>
              <w:rPr>
                <w:rFonts w:ascii="仿宋" w:hAnsi="仿宋" w:eastAsia="仿宋" w:cs="仿宋_GB2312"/>
                <w:bCs/>
                <w:szCs w:val="21"/>
              </w:rPr>
            </w:pPr>
            <w:r>
              <w:rPr>
                <w:rFonts w:hint="eastAsia" w:ascii="仿宋" w:hAnsi="仿宋" w:eastAsia="仿宋" w:cs="仿宋_GB2312"/>
                <w:bCs/>
                <w:szCs w:val="21"/>
              </w:rPr>
              <w:t>独立设置的实验课</w:t>
            </w:r>
          </w:p>
        </w:tc>
        <w:tc>
          <w:tcPr>
            <w:tcW w:w="1841" w:type="dxa"/>
            <w:vAlign w:val="center"/>
          </w:tcPr>
          <w:p>
            <w:pPr>
              <w:spacing w:line="320" w:lineRule="exact"/>
              <w:jc w:val="left"/>
              <w:rPr>
                <w:rFonts w:ascii="仿宋" w:hAnsi="仿宋" w:eastAsia="仿宋" w:cs="仿宋_GB2312"/>
                <w:bCs/>
                <w:szCs w:val="21"/>
              </w:rPr>
            </w:pPr>
            <w:r>
              <w:rPr>
                <w:rFonts w:hint="eastAsia" w:ascii="仿宋" w:hAnsi="仿宋" w:eastAsia="仿宋" w:cs="仿宋_GB2312"/>
                <w:bCs/>
                <w:szCs w:val="21"/>
              </w:rPr>
              <w:t>不含实习、见习、毕业设计、毕业论文、社会调查。（</w:t>
            </w:r>
            <w:r>
              <w:rPr>
                <w:rFonts w:ascii="仿宋" w:hAnsi="仿宋" w:eastAsia="仿宋" w:cs="仿宋_GB2312"/>
                <w:bCs/>
                <w:szCs w:val="21"/>
              </w:rPr>
              <w:t>5-1-1</w:t>
            </w:r>
            <w:r>
              <w:rPr>
                <w:rFonts w:hint="eastAsia" w:ascii="仿宋" w:hAnsi="仿宋" w:eastAsia="仿宋" w:cs="仿宋_GB2312"/>
                <w:bCs/>
                <w:szCs w:val="21"/>
              </w:rPr>
              <w:t>）</w:t>
            </w:r>
          </w:p>
          <w:p>
            <w:pPr>
              <w:spacing w:line="320" w:lineRule="exact"/>
              <w:jc w:val="left"/>
              <w:rPr>
                <w:rFonts w:ascii="仿宋" w:hAnsi="仿宋" w:eastAsia="仿宋" w:cs="仿宋_GB2312"/>
                <w:bCs/>
                <w:szCs w:val="21"/>
              </w:rPr>
            </w:pPr>
          </w:p>
        </w:tc>
        <w:tc>
          <w:tcPr>
            <w:tcW w:w="1869" w:type="dxa"/>
            <w:vMerge w:val="continue"/>
            <w:vAlign w:val="center"/>
          </w:tcPr>
          <w:p>
            <w:pPr>
              <w:spacing w:line="320" w:lineRule="exact"/>
              <w:jc w:val="left"/>
              <w:rPr>
                <w:rFonts w:ascii="仿宋" w:hAnsi="仿宋"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459" w:type="dxa"/>
            <w:vMerge w:val="continue"/>
            <w:vAlign w:val="center"/>
          </w:tcPr>
          <w:p>
            <w:pPr>
              <w:spacing w:line="320" w:lineRule="exact"/>
              <w:jc w:val="center"/>
              <w:rPr>
                <w:rFonts w:ascii="仿宋" w:hAnsi="仿宋" w:eastAsia="仿宋" w:cs="仿宋_GB2312"/>
                <w:bCs/>
                <w:szCs w:val="21"/>
              </w:rPr>
            </w:pPr>
          </w:p>
        </w:tc>
        <w:tc>
          <w:tcPr>
            <w:tcW w:w="867" w:type="dxa"/>
            <w:vAlign w:val="center"/>
          </w:tcPr>
          <w:p>
            <w:pPr>
              <w:spacing w:line="320" w:lineRule="exact"/>
              <w:jc w:val="center"/>
              <w:rPr>
                <w:rFonts w:ascii="仿宋" w:hAnsi="仿宋" w:eastAsia="仿宋" w:cs="仿宋_GB2312"/>
                <w:bCs/>
                <w:szCs w:val="21"/>
              </w:rPr>
            </w:pPr>
            <w:r>
              <w:rPr>
                <w:rFonts w:hint="eastAsia" w:ascii="仿宋" w:hAnsi="仿宋" w:eastAsia="仿宋" w:cs="仿宋_GB2312"/>
                <w:bCs/>
                <w:szCs w:val="21"/>
              </w:rPr>
              <w:t>（我校要求达到</w:t>
            </w:r>
            <w:r>
              <w:rPr>
                <w:rFonts w:ascii="仿宋" w:hAnsi="仿宋" w:eastAsia="仿宋" w:cs="仿宋_GB2312"/>
                <w:bCs/>
                <w:szCs w:val="21"/>
              </w:rPr>
              <w:t>10</w:t>
            </w:r>
            <w:r>
              <w:rPr>
                <w:rFonts w:hint="eastAsia" w:ascii="仿宋" w:hAnsi="仿宋" w:eastAsia="仿宋" w:cs="仿宋_GB2312"/>
                <w:bCs/>
                <w:szCs w:val="21"/>
              </w:rPr>
              <w:t>学分）</w:t>
            </w:r>
          </w:p>
        </w:tc>
        <w:tc>
          <w:tcPr>
            <w:tcW w:w="900" w:type="dxa"/>
            <w:vAlign w:val="center"/>
          </w:tcPr>
          <w:p>
            <w:pPr>
              <w:spacing w:line="320" w:lineRule="exact"/>
              <w:jc w:val="center"/>
              <w:rPr>
                <w:rFonts w:ascii="仿宋" w:hAnsi="仿宋" w:eastAsia="仿宋" w:cs="仿宋_GB2312"/>
                <w:bCs/>
                <w:szCs w:val="21"/>
              </w:rPr>
            </w:pPr>
            <w:r>
              <w:rPr>
                <w:rFonts w:hint="eastAsia" w:ascii="仿宋" w:hAnsi="仿宋" w:eastAsia="仿宋" w:cs="仿宋_GB2312"/>
                <w:bCs/>
                <w:szCs w:val="21"/>
              </w:rPr>
              <w:t>（我校定义为“艺术实践学分”）</w:t>
            </w:r>
          </w:p>
        </w:tc>
        <w:tc>
          <w:tcPr>
            <w:tcW w:w="1080" w:type="dxa"/>
            <w:vAlign w:val="center"/>
          </w:tcPr>
          <w:p>
            <w:pPr>
              <w:spacing w:line="320" w:lineRule="exact"/>
              <w:jc w:val="center"/>
              <w:rPr>
                <w:rFonts w:ascii="仿宋" w:hAnsi="仿宋" w:eastAsia="仿宋" w:cs="仿宋_GB2312"/>
                <w:bCs/>
                <w:szCs w:val="21"/>
              </w:rPr>
            </w:pPr>
            <w:r>
              <w:rPr>
                <w:rFonts w:hint="eastAsia" w:ascii="仿宋" w:hAnsi="仿宋" w:eastAsia="仿宋" w:cs="仿宋_GB2312"/>
                <w:bCs/>
                <w:szCs w:val="21"/>
              </w:rPr>
              <w:t>课外科技活动（</w:t>
            </w:r>
            <w:r>
              <w:rPr>
                <w:rFonts w:ascii="仿宋" w:hAnsi="仿宋" w:eastAsia="仿宋" w:cs="仿宋_GB2312"/>
                <w:bCs/>
                <w:szCs w:val="21"/>
              </w:rPr>
              <w:t>4-2</w:t>
            </w:r>
            <w:r>
              <w:rPr>
                <w:rFonts w:hint="eastAsia" w:ascii="仿宋" w:hAnsi="仿宋" w:eastAsia="仿宋" w:cs="仿宋_GB2312"/>
                <w:bCs/>
                <w:szCs w:val="21"/>
              </w:rPr>
              <w:t>）</w:t>
            </w:r>
          </w:p>
        </w:tc>
        <w:tc>
          <w:tcPr>
            <w:tcW w:w="734" w:type="dxa"/>
            <w:vAlign w:val="center"/>
          </w:tcPr>
          <w:p>
            <w:pPr>
              <w:spacing w:line="320" w:lineRule="exact"/>
              <w:jc w:val="center"/>
              <w:rPr>
                <w:rFonts w:ascii="仿宋" w:hAnsi="仿宋" w:eastAsia="仿宋" w:cs="仿宋_GB2312"/>
                <w:bCs/>
                <w:szCs w:val="21"/>
              </w:rPr>
            </w:pPr>
            <w:r>
              <w:rPr>
                <w:rFonts w:hint="eastAsia" w:ascii="仿宋" w:hAnsi="仿宋" w:eastAsia="仿宋" w:cs="仿宋_GB2312"/>
                <w:bCs/>
                <w:szCs w:val="21"/>
              </w:rPr>
              <w:t>实践</w:t>
            </w:r>
          </w:p>
        </w:tc>
        <w:tc>
          <w:tcPr>
            <w:tcW w:w="1306" w:type="dxa"/>
            <w:vAlign w:val="center"/>
          </w:tcPr>
          <w:p>
            <w:pPr>
              <w:spacing w:line="320" w:lineRule="exact"/>
              <w:jc w:val="center"/>
              <w:rPr>
                <w:rFonts w:ascii="仿宋" w:hAnsi="仿宋" w:eastAsia="仿宋" w:cs="仿宋_GB2312"/>
                <w:bCs/>
                <w:szCs w:val="21"/>
              </w:rPr>
            </w:pPr>
            <w:r>
              <w:rPr>
                <w:rFonts w:hint="eastAsia" w:ascii="仿宋" w:hAnsi="仿宋" w:eastAsia="仿宋" w:cs="仿宋_GB2312"/>
                <w:bCs/>
                <w:szCs w:val="21"/>
              </w:rPr>
              <w:t>课外实践</w:t>
            </w:r>
          </w:p>
        </w:tc>
        <w:tc>
          <w:tcPr>
            <w:tcW w:w="1841" w:type="dxa"/>
            <w:vAlign w:val="center"/>
          </w:tcPr>
          <w:p>
            <w:pPr>
              <w:spacing w:line="320" w:lineRule="exact"/>
              <w:jc w:val="left"/>
              <w:rPr>
                <w:rFonts w:ascii="仿宋" w:hAnsi="仿宋" w:eastAsia="仿宋" w:cs="仿宋_GB2312"/>
                <w:bCs/>
                <w:szCs w:val="21"/>
              </w:rPr>
            </w:pPr>
            <w:r>
              <w:rPr>
                <w:rFonts w:hint="eastAsia" w:ascii="仿宋" w:hAnsi="仿宋" w:eastAsia="仿宋" w:cs="仿宋_GB2312"/>
                <w:bCs/>
                <w:szCs w:val="21"/>
              </w:rPr>
              <w:t>指参展、获奖、科研、论文、实习、活动等课外活动的毕业最低总学分数。</w:t>
            </w:r>
          </w:p>
        </w:tc>
        <w:tc>
          <w:tcPr>
            <w:tcW w:w="1869" w:type="dxa"/>
            <w:vAlign w:val="center"/>
          </w:tcPr>
          <w:p>
            <w:pPr>
              <w:spacing w:line="320" w:lineRule="exact"/>
              <w:jc w:val="left"/>
              <w:rPr>
                <w:rFonts w:ascii="仿宋" w:hAnsi="仿宋" w:eastAsia="仿宋" w:cs="仿宋_GB2312"/>
                <w:bCs/>
                <w:szCs w:val="21"/>
              </w:rPr>
            </w:pPr>
            <w:r>
              <w:rPr>
                <w:rFonts w:hint="eastAsia" w:ascii="仿宋" w:hAnsi="仿宋" w:eastAsia="仿宋" w:cs="仿宋_GB2312"/>
                <w:bCs/>
                <w:szCs w:val="21"/>
              </w:rPr>
              <w:t>“艺术实践学分”为折合后的学分，不计学时。此课程应在“艺术实践”课程分类中。</w:t>
            </w:r>
          </w:p>
        </w:tc>
      </w:tr>
    </w:tbl>
    <w:p>
      <w:pPr>
        <w:spacing w:line="520" w:lineRule="exact"/>
        <w:rPr>
          <w:rFonts w:hint="eastAsia" w:ascii="仿宋" w:hAnsi="仿宋" w:eastAsia="仿宋" w:cs="宋体"/>
          <w:b/>
          <w:sz w:val="32"/>
          <w:szCs w:val="32"/>
        </w:rPr>
      </w:pPr>
    </w:p>
    <w:p>
      <w:pPr>
        <w:spacing w:line="520" w:lineRule="exact"/>
        <w:ind w:firstLine="640" w:firstLineChars="200"/>
        <w:rPr>
          <w:rFonts w:ascii="楷体" w:hAnsi="楷体" w:eastAsia="楷体" w:cs="宋体"/>
          <w:sz w:val="32"/>
          <w:szCs w:val="32"/>
        </w:rPr>
      </w:pPr>
      <w:r>
        <w:rPr>
          <w:rFonts w:hint="eastAsia" w:ascii="楷体" w:hAnsi="楷体" w:eastAsia="楷体" w:cs="宋体"/>
          <w:sz w:val="32"/>
          <w:szCs w:val="32"/>
        </w:rPr>
        <w:t>（二）科学设置学期、学时分布</w:t>
      </w:r>
    </w:p>
    <w:p>
      <w:pPr>
        <w:numPr>
          <w:ilvl w:val="255"/>
          <w:numId w:val="0"/>
        </w:num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公共基础课：一般安排在一、二年级修完。每门课程的每班排课节数不应超过2课时/日，不应超过4课时/每周。</w:t>
      </w:r>
    </w:p>
    <w:p>
      <w:pPr>
        <w:numPr>
          <w:ilvl w:val="255"/>
          <w:numId w:val="0"/>
        </w:num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公共选修课：一般安排在一、二年级修完。每门课程的每班排课节数不应超过4课时/日，不应超过4课时/每周。</w:t>
      </w:r>
    </w:p>
    <w:p>
      <w:pPr>
        <w:numPr>
          <w:ilvl w:val="255"/>
          <w:numId w:val="0"/>
        </w:num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专业基础课：一般安排在一、二年级。</w:t>
      </w:r>
    </w:p>
    <w:p>
      <w:pPr>
        <w:numPr>
          <w:ilvl w:val="255"/>
          <w:numId w:val="0"/>
        </w:num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专业方向课：一般安排在二、三年级。</w:t>
      </w:r>
    </w:p>
    <w:p>
      <w:pPr>
        <w:numPr>
          <w:ilvl w:val="255"/>
          <w:numId w:val="0"/>
        </w:num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专业选修课：一般安排在一、二年级。每门课程的每班排课节数不应超过4课时/日，不应超过4课时/每周。</w:t>
      </w:r>
    </w:p>
    <w:p>
      <w:pPr>
        <w:numPr>
          <w:ilvl w:val="255"/>
          <w:numId w:val="0"/>
        </w:num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专业理论课、理论与技能结合课：每门课程的每班排课节数不应超过4课时/日，不应超过20课时/每周。</w:t>
      </w:r>
    </w:p>
    <w:p>
      <w:pPr>
        <w:numPr>
          <w:ilvl w:val="255"/>
          <w:numId w:val="0"/>
        </w:num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专业技能课、实验教学课：每门课程的每班排课节数不应超过8课时/日，不应超过20课时/每周。</w:t>
      </w:r>
    </w:p>
    <w:p>
      <w:pPr>
        <w:numPr>
          <w:ilvl w:val="255"/>
          <w:numId w:val="0"/>
        </w:numPr>
        <w:spacing w:line="52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专业实践课：专业考察、写生、采风、实训、毕业环节等实践教学活动，每门课程的每班排课节数不应超过8课时/日，不应超过40课时/每周。</w:t>
      </w:r>
    </w:p>
    <w:p>
      <w:pPr>
        <w:numPr>
          <w:ilvl w:val="0"/>
          <w:numId w:val="3"/>
        </w:num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学制和学分</w:t>
      </w:r>
    </w:p>
    <w:p>
      <w:pPr>
        <w:spacing w:line="520" w:lineRule="exact"/>
        <w:ind w:firstLine="640" w:firstLineChars="200"/>
        <w:rPr>
          <w:rFonts w:ascii="楷体" w:hAnsi="楷体" w:eastAsia="楷体" w:cs="宋体"/>
          <w:sz w:val="32"/>
          <w:szCs w:val="32"/>
        </w:rPr>
      </w:pPr>
      <w:r>
        <w:rPr>
          <w:rFonts w:hint="eastAsia" w:ascii="楷体" w:hAnsi="楷体" w:eastAsia="楷体" w:cs="宋体"/>
          <w:sz w:val="32"/>
          <w:szCs w:val="32"/>
        </w:rPr>
        <w:t>（一）学制安排</w:t>
      </w:r>
    </w:p>
    <w:p>
      <w:pPr>
        <w:numPr>
          <w:ilvl w:val="255"/>
          <w:numId w:val="0"/>
        </w:num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雕塑专业学制为5年；其他专业学制为4年，弹性学习年限为4-6年。</w:t>
      </w:r>
    </w:p>
    <w:p>
      <w:pPr>
        <w:spacing w:line="600" w:lineRule="exact"/>
        <w:ind w:firstLine="640" w:firstLineChars="200"/>
        <w:rPr>
          <w:rFonts w:ascii="楷体" w:hAnsi="楷体" w:eastAsia="楷体" w:cs="宋体"/>
          <w:sz w:val="32"/>
          <w:szCs w:val="32"/>
        </w:rPr>
      </w:pPr>
      <w:r>
        <w:rPr>
          <w:rFonts w:hint="eastAsia" w:ascii="楷体" w:hAnsi="楷体" w:eastAsia="楷体" w:cs="宋体"/>
          <w:sz w:val="32"/>
          <w:szCs w:val="32"/>
        </w:rPr>
        <w:t>（二）学分安排</w:t>
      </w:r>
    </w:p>
    <w:p>
      <w:pPr>
        <w:numPr>
          <w:ilvl w:val="255"/>
          <w:numId w:val="0"/>
        </w:num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毕业学时、学分的设定要符合《国标》中对各专业（方向）学时、学分的不同要求。各类课程学分结构应满足下表要求：</w:t>
      </w:r>
    </w:p>
    <w:p>
      <w:pPr>
        <w:spacing w:line="500" w:lineRule="exact"/>
        <w:jc w:val="center"/>
        <w:rPr>
          <w:rFonts w:ascii="仿宋" w:hAnsi="仿宋" w:eastAsia="仿宋" w:cs="宋体"/>
          <w:b/>
          <w:sz w:val="32"/>
          <w:szCs w:val="32"/>
        </w:rPr>
      </w:pPr>
      <w:r>
        <w:rPr>
          <w:rFonts w:hint="eastAsia" w:ascii="仿宋" w:hAnsi="仿宋" w:eastAsia="仿宋" w:cs="宋体"/>
          <w:b/>
          <w:sz w:val="32"/>
          <w:szCs w:val="32"/>
        </w:rPr>
        <w:t>吉林艺术学院四年制本科各类课程学分构成表</w:t>
      </w:r>
    </w:p>
    <w:tbl>
      <w:tblPr>
        <w:tblStyle w:val="6"/>
        <w:tblW w:w="8256" w:type="dxa"/>
        <w:jc w:val="center"/>
        <w:tblLayout w:type="fixed"/>
        <w:tblCellMar>
          <w:top w:w="0" w:type="dxa"/>
          <w:left w:w="108" w:type="dxa"/>
          <w:bottom w:w="0" w:type="dxa"/>
          <w:right w:w="108" w:type="dxa"/>
        </w:tblCellMar>
      </w:tblPr>
      <w:tblGrid>
        <w:gridCol w:w="1128"/>
        <w:gridCol w:w="1485"/>
        <w:gridCol w:w="1833"/>
        <w:gridCol w:w="946"/>
        <w:gridCol w:w="911"/>
        <w:gridCol w:w="880"/>
        <w:gridCol w:w="1073"/>
      </w:tblGrid>
      <w:tr>
        <w:tblPrEx>
          <w:tblCellMar>
            <w:top w:w="0" w:type="dxa"/>
            <w:left w:w="108" w:type="dxa"/>
            <w:bottom w:w="0" w:type="dxa"/>
            <w:right w:w="108" w:type="dxa"/>
          </w:tblCellMar>
        </w:tblPrEx>
        <w:trPr>
          <w:trHeight w:val="621" w:hRule="atLeast"/>
          <w:jc w:val="center"/>
        </w:trPr>
        <w:tc>
          <w:tcPr>
            <w:tcW w:w="11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b/>
                <w:color w:val="000000"/>
                <w:sz w:val="24"/>
                <w:szCs w:val="24"/>
              </w:rPr>
            </w:pPr>
            <w:r>
              <w:rPr>
                <w:rFonts w:hint="eastAsia" w:ascii="仿宋" w:hAnsi="仿宋" w:eastAsia="仿宋" w:cs="仿宋_GB2312"/>
                <w:b/>
                <w:color w:val="000000"/>
                <w:kern w:val="0"/>
                <w:sz w:val="24"/>
                <w:szCs w:val="24"/>
              </w:rPr>
              <w:t>课程模块</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b/>
                <w:color w:val="000000"/>
                <w:sz w:val="24"/>
                <w:szCs w:val="24"/>
              </w:rPr>
            </w:pPr>
            <w:r>
              <w:rPr>
                <w:rFonts w:hint="eastAsia" w:ascii="仿宋" w:hAnsi="仿宋" w:eastAsia="仿宋" w:cs="仿宋_GB2312"/>
                <w:b/>
                <w:color w:val="000000"/>
                <w:kern w:val="0"/>
                <w:sz w:val="24"/>
                <w:szCs w:val="24"/>
              </w:rPr>
              <w:t>课程分类</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b/>
                <w:color w:val="000000"/>
                <w:kern w:val="0"/>
                <w:sz w:val="24"/>
                <w:szCs w:val="24"/>
              </w:rPr>
            </w:pPr>
            <w:r>
              <w:rPr>
                <w:rFonts w:hint="eastAsia" w:ascii="仿宋" w:hAnsi="仿宋" w:eastAsia="仿宋" w:cs="仿宋_GB2312"/>
                <w:b/>
                <w:color w:val="000000"/>
                <w:kern w:val="0"/>
                <w:sz w:val="24"/>
                <w:szCs w:val="24"/>
              </w:rPr>
              <w:t>课程类别</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b/>
                <w:color w:val="000000"/>
                <w:sz w:val="24"/>
                <w:szCs w:val="24"/>
              </w:rPr>
            </w:pPr>
            <w:r>
              <w:rPr>
                <w:rFonts w:hint="eastAsia" w:ascii="仿宋" w:hAnsi="仿宋" w:eastAsia="仿宋" w:cs="仿宋_GB2312"/>
                <w:b/>
                <w:color w:val="000000"/>
                <w:kern w:val="0"/>
                <w:sz w:val="24"/>
                <w:szCs w:val="24"/>
              </w:rPr>
              <w:t>学分</w:t>
            </w:r>
          </w:p>
        </w:tc>
        <w:tc>
          <w:tcPr>
            <w:tcW w:w="91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b/>
                <w:color w:val="000000"/>
                <w:kern w:val="0"/>
                <w:sz w:val="24"/>
                <w:szCs w:val="24"/>
              </w:rPr>
            </w:pPr>
            <w:r>
              <w:rPr>
                <w:rFonts w:hint="eastAsia" w:ascii="仿宋" w:hAnsi="仿宋" w:eastAsia="仿宋" w:cs="仿宋_GB2312"/>
                <w:b/>
                <w:color w:val="000000"/>
                <w:kern w:val="0"/>
                <w:sz w:val="24"/>
                <w:szCs w:val="24"/>
              </w:rPr>
              <w:t>学分</w:t>
            </w:r>
          </w:p>
          <w:p>
            <w:pPr>
              <w:widowControl/>
              <w:spacing w:line="400" w:lineRule="exact"/>
              <w:jc w:val="center"/>
              <w:textAlignment w:val="center"/>
              <w:rPr>
                <w:rFonts w:ascii="仿宋" w:hAnsi="仿宋" w:eastAsia="仿宋" w:cs="仿宋_GB2312"/>
                <w:b/>
                <w:color w:val="000000"/>
                <w:kern w:val="0"/>
                <w:sz w:val="24"/>
                <w:szCs w:val="24"/>
              </w:rPr>
            </w:pPr>
            <w:r>
              <w:rPr>
                <w:rFonts w:hint="eastAsia" w:ascii="仿宋" w:hAnsi="仿宋" w:eastAsia="仿宋" w:cs="仿宋_GB2312"/>
                <w:b/>
                <w:color w:val="000000"/>
                <w:kern w:val="0"/>
                <w:sz w:val="24"/>
                <w:szCs w:val="24"/>
              </w:rPr>
              <w:t>小计</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spacing w:line="400" w:lineRule="exact"/>
              <w:jc w:val="center"/>
              <w:textAlignment w:val="center"/>
              <w:rPr>
                <w:rFonts w:ascii="仿宋" w:hAnsi="仿宋" w:eastAsia="仿宋" w:cs="仿宋_GB2312"/>
                <w:b/>
                <w:color w:val="000000"/>
                <w:kern w:val="0"/>
                <w:sz w:val="24"/>
                <w:szCs w:val="24"/>
              </w:rPr>
            </w:pPr>
            <w:r>
              <w:rPr>
                <w:rFonts w:hint="eastAsia" w:ascii="仿宋" w:hAnsi="仿宋" w:eastAsia="仿宋" w:cs="仿宋_GB2312"/>
                <w:b/>
                <w:color w:val="000000"/>
                <w:kern w:val="0"/>
                <w:sz w:val="24"/>
                <w:szCs w:val="24"/>
              </w:rPr>
              <w:t>学分</w:t>
            </w:r>
          </w:p>
          <w:p>
            <w:pPr>
              <w:widowControl/>
              <w:spacing w:line="400" w:lineRule="exact"/>
              <w:jc w:val="center"/>
              <w:textAlignment w:val="center"/>
              <w:rPr>
                <w:rFonts w:ascii="仿宋" w:hAnsi="仿宋" w:eastAsia="仿宋" w:cs="仿宋_GB2312"/>
                <w:b/>
                <w:color w:val="000000"/>
                <w:kern w:val="0"/>
                <w:sz w:val="24"/>
                <w:szCs w:val="24"/>
              </w:rPr>
            </w:pPr>
            <w:r>
              <w:rPr>
                <w:rFonts w:hint="eastAsia" w:ascii="仿宋" w:hAnsi="仿宋" w:eastAsia="仿宋" w:cs="仿宋_GB2312"/>
                <w:b/>
                <w:color w:val="000000"/>
                <w:kern w:val="0"/>
                <w:sz w:val="24"/>
                <w:szCs w:val="24"/>
              </w:rPr>
              <w:t>合计</w:t>
            </w:r>
          </w:p>
        </w:tc>
        <w:tc>
          <w:tcPr>
            <w:tcW w:w="107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b/>
                <w:color w:val="000000"/>
                <w:sz w:val="24"/>
                <w:szCs w:val="24"/>
              </w:rPr>
            </w:pPr>
            <w:r>
              <w:rPr>
                <w:rFonts w:hint="eastAsia" w:ascii="仿宋" w:hAnsi="仿宋" w:eastAsia="仿宋" w:cs="仿宋_GB2312"/>
                <w:b/>
                <w:color w:val="000000"/>
                <w:kern w:val="0"/>
                <w:sz w:val="24"/>
                <w:szCs w:val="24"/>
              </w:rPr>
              <w:t>学分比例</w:t>
            </w:r>
          </w:p>
        </w:tc>
      </w:tr>
      <w:tr>
        <w:tblPrEx>
          <w:tblCellMar>
            <w:top w:w="0" w:type="dxa"/>
            <w:left w:w="108" w:type="dxa"/>
            <w:bottom w:w="0" w:type="dxa"/>
            <w:right w:w="108" w:type="dxa"/>
          </w:tblCellMar>
        </w:tblPrEx>
        <w:trPr>
          <w:trHeight w:val="411" w:hRule="atLeast"/>
          <w:jc w:val="center"/>
        </w:trPr>
        <w:tc>
          <w:tcPr>
            <w:tcW w:w="112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rPr>
              <w:t>通识级教育模块</w:t>
            </w:r>
          </w:p>
        </w:tc>
        <w:tc>
          <w:tcPr>
            <w:tcW w:w="14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rPr>
              <w:t>公共必修课</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思想政治理论课</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color w:val="000000"/>
                <w:sz w:val="24"/>
                <w:szCs w:val="24"/>
              </w:rPr>
            </w:pPr>
            <w:r>
              <w:rPr>
                <w:rFonts w:hint="eastAsia" w:ascii="仿宋" w:hAnsi="仿宋" w:eastAsia="仿宋" w:cs="仿宋_GB2312"/>
                <w:color w:val="000000"/>
                <w:sz w:val="24"/>
                <w:szCs w:val="24"/>
              </w:rPr>
              <w:t>18.6</w:t>
            </w:r>
          </w:p>
        </w:tc>
        <w:tc>
          <w:tcPr>
            <w:tcW w:w="91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45.6</w:t>
            </w:r>
          </w:p>
        </w:tc>
        <w:tc>
          <w:tcPr>
            <w:tcW w:w="8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52.6</w:t>
            </w:r>
          </w:p>
        </w:tc>
        <w:tc>
          <w:tcPr>
            <w:tcW w:w="10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30</w:t>
            </w:r>
            <w:r>
              <w:rPr>
                <w:rFonts w:ascii="仿宋" w:hAnsi="仿宋" w:eastAsia="仿宋" w:cs="仿宋_GB2312"/>
                <w:color w:val="000000"/>
                <w:sz w:val="24"/>
                <w:szCs w:val="24"/>
              </w:rPr>
              <w:t>%</w:t>
            </w:r>
          </w:p>
        </w:tc>
      </w:tr>
      <w:tr>
        <w:tblPrEx>
          <w:tblCellMar>
            <w:top w:w="0" w:type="dxa"/>
            <w:left w:w="108" w:type="dxa"/>
            <w:bottom w:w="0" w:type="dxa"/>
            <w:right w:w="108" w:type="dxa"/>
          </w:tblCellMar>
        </w:tblPrEx>
        <w:trPr>
          <w:trHeight w:val="411" w:hRule="atLeast"/>
          <w:jc w:val="center"/>
        </w:trPr>
        <w:tc>
          <w:tcPr>
            <w:tcW w:w="1128" w:type="dxa"/>
            <w:vMerge w:val="continue"/>
            <w:tcBorders>
              <w:left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color w:val="000000"/>
                <w:kern w:val="0"/>
                <w:sz w:val="24"/>
                <w:szCs w:val="24"/>
              </w:rPr>
            </w:pPr>
          </w:p>
        </w:tc>
        <w:tc>
          <w:tcPr>
            <w:tcW w:w="1485" w:type="dxa"/>
            <w:vMerge w:val="continue"/>
            <w:tcBorders>
              <w:left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color w:val="000000"/>
                <w:kern w:val="0"/>
                <w:sz w:val="24"/>
                <w:szCs w:val="24"/>
              </w:rPr>
            </w:pP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军事理论与训练</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color w:val="000000"/>
                <w:sz w:val="24"/>
                <w:szCs w:val="24"/>
              </w:rPr>
            </w:pPr>
            <w:r>
              <w:rPr>
                <w:rFonts w:hint="eastAsia" w:ascii="仿宋" w:hAnsi="仿宋" w:eastAsia="仿宋" w:cs="仿宋_GB2312"/>
                <w:color w:val="000000"/>
                <w:sz w:val="24"/>
                <w:szCs w:val="24"/>
              </w:rPr>
              <w:t>4</w:t>
            </w:r>
          </w:p>
        </w:tc>
        <w:tc>
          <w:tcPr>
            <w:tcW w:w="911" w:type="dxa"/>
            <w:vMerge w:val="continue"/>
            <w:tcBorders>
              <w:left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rPr>
                <w:rFonts w:ascii="仿宋" w:hAnsi="仿宋" w:eastAsia="仿宋" w:cs="仿宋_GB2312"/>
                <w:color w:val="000000"/>
                <w:sz w:val="24"/>
                <w:szCs w:val="24"/>
              </w:rPr>
            </w:pPr>
          </w:p>
        </w:tc>
        <w:tc>
          <w:tcPr>
            <w:tcW w:w="880" w:type="dxa"/>
            <w:vMerge w:val="continue"/>
            <w:tcBorders>
              <w:left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rPr>
                <w:rFonts w:ascii="仿宋" w:hAnsi="仿宋" w:eastAsia="仿宋" w:cs="仿宋_GB2312"/>
                <w:color w:val="000000"/>
                <w:sz w:val="24"/>
                <w:szCs w:val="24"/>
              </w:rPr>
            </w:pPr>
          </w:p>
        </w:tc>
        <w:tc>
          <w:tcPr>
            <w:tcW w:w="1073" w:type="dxa"/>
            <w:vMerge w:val="continue"/>
            <w:tcBorders>
              <w:left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rPr>
                <w:rFonts w:ascii="仿宋" w:hAnsi="仿宋" w:eastAsia="仿宋" w:cs="仿宋_GB2312"/>
                <w:color w:val="000000"/>
                <w:sz w:val="24"/>
                <w:szCs w:val="24"/>
              </w:rPr>
            </w:pPr>
          </w:p>
        </w:tc>
      </w:tr>
      <w:tr>
        <w:tblPrEx>
          <w:tblCellMar>
            <w:top w:w="0" w:type="dxa"/>
            <w:left w:w="108" w:type="dxa"/>
            <w:bottom w:w="0" w:type="dxa"/>
            <w:right w:w="108" w:type="dxa"/>
          </w:tblCellMar>
        </w:tblPrEx>
        <w:trPr>
          <w:trHeight w:val="411" w:hRule="atLeast"/>
          <w:jc w:val="center"/>
        </w:trPr>
        <w:tc>
          <w:tcPr>
            <w:tcW w:w="1128" w:type="dxa"/>
            <w:vMerge w:val="continue"/>
            <w:tcBorders>
              <w:left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color w:val="000000"/>
                <w:kern w:val="0"/>
                <w:sz w:val="24"/>
                <w:szCs w:val="24"/>
              </w:rPr>
            </w:pPr>
          </w:p>
        </w:tc>
        <w:tc>
          <w:tcPr>
            <w:tcW w:w="1485" w:type="dxa"/>
            <w:vMerge w:val="continue"/>
            <w:tcBorders>
              <w:left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color w:val="000000"/>
                <w:kern w:val="0"/>
                <w:sz w:val="24"/>
                <w:szCs w:val="24"/>
              </w:rPr>
            </w:pP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心理健康教育</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color w:val="000000"/>
                <w:sz w:val="24"/>
                <w:szCs w:val="24"/>
              </w:rPr>
            </w:pPr>
            <w:r>
              <w:rPr>
                <w:rFonts w:hint="eastAsia" w:ascii="仿宋" w:hAnsi="仿宋" w:eastAsia="仿宋" w:cs="仿宋_GB2312"/>
                <w:color w:val="000000"/>
                <w:sz w:val="24"/>
                <w:szCs w:val="24"/>
              </w:rPr>
              <w:t>3</w:t>
            </w:r>
          </w:p>
        </w:tc>
        <w:tc>
          <w:tcPr>
            <w:tcW w:w="911" w:type="dxa"/>
            <w:vMerge w:val="continue"/>
            <w:tcBorders>
              <w:left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rPr>
                <w:rFonts w:ascii="仿宋" w:hAnsi="仿宋" w:eastAsia="仿宋" w:cs="仿宋_GB2312"/>
                <w:color w:val="000000"/>
                <w:sz w:val="24"/>
                <w:szCs w:val="24"/>
              </w:rPr>
            </w:pPr>
          </w:p>
        </w:tc>
        <w:tc>
          <w:tcPr>
            <w:tcW w:w="880" w:type="dxa"/>
            <w:vMerge w:val="continue"/>
            <w:tcBorders>
              <w:left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rPr>
                <w:rFonts w:ascii="仿宋" w:hAnsi="仿宋" w:eastAsia="仿宋" w:cs="仿宋_GB2312"/>
                <w:color w:val="000000"/>
                <w:sz w:val="24"/>
                <w:szCs w:val="24"/>
              </w:rPr>
            </w:pPr>
          </w:p>
        </w:tc>
        <w:tc>
          <w:tcPr>
            <w:tcW w:w="1073" w:type="dxa"/>
            <w:vMerge w:val="continue"/>
            <w:tcBorders>
              <w:left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rPr>
                <w:rFonts w:ascii="仿宋" w:hAnsi="仿宋" w:eastAsia="仿宋" w:cs="仿宋_GB2312"/>
                <w:color w:val="000000"/>
                <w:sz w:val="24"/>
                <w:szCs w:val="24"/>
              </w:rPr>
            </w:pPr>
          </w:p>
        </w:tc>
      </w:tr>
      <w:tr>
        <w:tblPrEx>
          <w:tblCellMar>
            <w:top w:w="0" w:type="dxa"/>
            <w:left w:w="108" w:type="dxa"/>
            <w:bottom w:w="0" w:type="dxa"/>
            <w:right w:w="108" w:type="dxa"/>
          </w:tblCellMar>
        </w:tblPrEx>
        <w:trPr>
          <w:trHeight w:val="411" w:hRule="atLeast"/>
          <w:jc w:val="center"/>
        </w:trPr>
        <w:tc>
          <w:tcPr>
            <w:tcW w:w="1128" w:type="dxa"/>
            <w:vMerge w:val="continue"/>
            <w:tcBorders>
              <w:left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color w:val="000000"/>
                <w:kern w:val="0"/>
                <w:sz w:val="24"/>
                <w:szCs w:val="24"/>
              </w:rPr>
            </w:pPr>
          </w:p>
        </w:tc>
        <w:tc>
          <w:tcPr>
            <w:tcW w:w="1485" w:type="dxa"/>
            <w:vMerge w:val="continue"/>
            <w:tcBorders>
              <w:left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color w:val="000000"/>
                <w:kern w:val="0"/>
                <w:sz w:val="24"/>
                <w:szCs w:val="24"/>
              </w:rPr>
            </w:pP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就业指导类课程</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2</w:t>
            </w:r>
          </w:p>
        </w:tc>
        <w:tc>
          <w:tcPr>
            <w:tcW w:w="911" w:type="dxa"/>
            <w:vMerge w:val="continue"/>
            <w:tcBorders>
              <w:left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rPr>
                <w:rFonts w:ascii="仿宋" w:hAnsi="仿宋" w:eastAsia="仿宋" w:cs="仿宋_GB2312"/>
                <w:color w:val="000000"/>
                <w:sz w:val="24"/>
                <w:szCs w:val="24"/>
              </w:rPr>
            </w:pPr>
          </w:p>
        </w:tc>
        <w:tc>
          <w:tcPr>
            <w:tcW w:w="880" w:type="dxa"/>
            <w:vMerge w:val="continue"/>
            <w:tcBorders>
              <w:left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rPr>
                <w:rFonts w:ascii="仿宋" w:hAnsi="仿宋" w:eastAsia="仿宋" w:cs="仿宋_GB2312"/>
                <w:color w:val="000000"/>
                <w:sz w:val="24"/>
                <w:szCs w:val="24"/>
              </w:rPr>
            </w:pPr>
          </w:p>
        </w:tc>
        <w:tc>
          <w:tcPr>
            <w:tcW w:w="1073" w:type="dxa"/>
            <w:vMerge w:val="continue"/>
            <w:tcBorders>
              <w:left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rPr>
                <w:rFonts w:ascii="仿宋" w:hAnsi="仿宋" w:eastAsia="仿宋" w:cs="仿宋_GB2312"/>
                <w:color w:val="000000"/>
                <w:sz w:val="24"/>
                <w:szCs w:val="24"/>
              </w:rPr>
            </w:pPr>
          </w:p>
        </w:tc>
      </w:tr>
      <w:tr>
        <w:tblPrEx>
          <w:tblCellMar>
            <w:top w:w="0" w:type="dxa"/>
            <w:left w:w="108" w:type="dxa"/>
            <w:bottom w:w="0" w:type="dxa"/>
            <w:right w:w="108" w:type="dxa"/>
          </w:tblCellMar>
        </w:tblPrEx>
        <w:trPr>
          <w:trHeight w:val="411" w:hRule="atLeast"/>
          <w:jc w:val="center"/>
        </w:trPr>
        <w:tc>
          <w:tcPr>
            <w:tcW w:w="1128"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rPr>
                <w:rFonts w:ascii="仿宋" w:hAnsi="仿宋" w:eastAsia="仿宋"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rPr>
                <w:rFonts w:ascii="仿宋" w:hAnsi="仿宋" w:eastAsia="仿宋" w:cs="仿宋_GB2312"/>
                <w:sz w:val="24"/>
                <w:szCs w:val="24"/>
              </w:rPr>
            </w:pP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大学生创业课程</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2</w:t>
            </w:r>
          </w:p>
        </w:tc>
        <w:tc>
          <w:tcPr>
            <w:tcW w:w="91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rPr>
                <w:rFonts w:ascii="仿宋" w:hAnsi="仿宋" w:eastAsia="仿宋" w:cs="仿宋_GB2312"/>
                <w:sz w:val="24"/>
                <w:szCs w:val="24"/>
              </w:rPr>
            </w:pPr>
          </w:p>
        </w:tc>
        <w:tc>
          <w:tcPr>
            <w:tcW w:w="8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rPr>
                <w:rFonts w:ascii="仿宋" w:hAnsi="仿宋" w:eastAsia="仿宋" w:cs="仿宋_GB2312"/>
                <w:sz w:val="24"/>
                <w:szCs w:val="24"/>
              </w:rPr>
            </w:pPr>
          </w:p>
        </w:tc>
        <w:tc>
          <w:tcPr>
            <w:tcW w:w="107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rPr>
                <w:rFonts w:ascii="仿宋" w:hAnsi="仿宋" w:eastAsia="仿宋" w:cs="仿宋_GB2312"/>
                <w:sz w:val="24"/>
                <w:szCs w:val="24"/>
              </w:rPr>
            </w:pPr>
          </w:p>
        </w:tc>
      </w:tr>
      <w:tr>
        <w:tblPrEx>
          <w:tblCellMar>
            <w:top w:w="0" w:type="dxa"/>
            <w:left w:w="108" w:type="dxa"/>
            <w:bottom w:w="0" w:type="dxa"/>
            <w:right w:w="108" w:type="dxa"/>
          </w:tblCellMar>
        </w:tblPrEx>
        <w:trPr>
          <w:trHeight w:val="411" w:hRule="atLeast"/>
          <w:jc w:val="center"/>
        </w:trPr>
        <w:tc>
          <w:tcPr>
            <w:tcW w:w="1128"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rPr>
                <w:rFonts w:ascii="仿宋" w:hAnsi="仿宋" w:eastAsia="仿宋"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rPr>
                <w:rFonts w:ascii="仿宋" w:hAnsi="仿宋" w:eastAsia="仿宋" w:cs="仿宋_GB2312"/>
                <w:sz w:val="24"/>
                <w:szCs w:val="24"/>
              </w:rPr>
            </w:pP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人文通识课程</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12</w:t>
            </w:r>
          </w:p>
        </w:tc>
        <w:tc>
          <w:tcPr>
            <w:tcW w:w="91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rPr>
                <w:rFonts w:ascii="仿宋" w:hAnsi="仿宋" w:eastAsia="仿宋" w:cs="仿宋_GB2312"/>
                <w:sz w:val="24"/>
                <w:szCs w:val="24"/>
              </w:rPr>
            </w:pPr>
          </w:p>
        </w:tc>
        <w:tc>
          <w:tcPr>
            <w:tcW w:w="8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rPr>
                <w:rFonts w:ascii="仿宋" w:hAnsi="仿宋" w:eastAsia="仿宋" w:cs="仿宋_GB2312"/>
                <w:sz w:val="24"/>
                <w:szCs w:val="24"/>
              </w:rPr>
            </w:pPr>
          </w:p>
        </w:tc>
        <w:tc>
          <w:tcPr>
            <w:tcW w:w="107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rPr>
                <w:rFonts w:ascii="仿宋" w:hAnsi="仿宋" w:eastAsia="仿宋" w:cs="仿宋_GB2312"/>
                <w:sz w:val="24"/>
                <w:szCs w:val="24"/>
              </w:rPr>
            </w:pPr>
          </w:p>
        </w:tc>
      </w:tr>
      <w:tr>
        <w:tblPrEx>
          <w:tblCellMar>
            <w:top w:w="0" w:type="dxa"/>
            <w:left w:w="108" w:type="dxa"/>
            <w:bottom w:w="0" w:type="dxa"/>
            <w:right w:w="108" w:type="dxa"/>
          </w:tblCellMar>
        </w:tblPrEx>
        <w:trPr>
          <w:trHeight w:val="411" w:hRule="atLeast"/>
          <w:jc w:val="center"/>
        </w:trPr>
        <w:tc>
          <w:tcPr>
            <w:tcW w:w="1128"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rPr>
                <w:rFonts w:ascii="仿宋" w:hAnsi="仿宋" w:eastAsia="仿宋"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rPr>
                <w:rFonts w:ascii="仿宋" w:hAnsi="仿宋" w:eastAsia="仿宋" w:cs="仿宋_GB2312"/>
                <w:sz w:val="24"/>
                <w:szCs w:val="24"/>
              </w:rPr>
            </w:pP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体育项目课程</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4</w:t>
            </w:r>
          </w:p>
        </w:tc>
        <w:tc>
          <w:tcPr>
            <w:tcW w:w="91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rPr>
                <w:rFonts w:ascii="仿宋" w:hAnsi="仿宋" w:eastAsia="仿宋" w:cs="仿宋_GB2312"/>
                <w:sz w:val="24"/>
                <w:szCs w:val="24"/>
              </w:rPr>
            </w:pPr>
          </w:p>
        </w:tc>
        <w:tc>
          <w:tcPr>
            <w:tcW w:w="8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rPr>
                <w:rFonts w:ascii="仿宋" w:hAnsi="仿宋" w:eastAsia="仿宋" w:cs="仿宋_GB2312"/>
                <w:sz w:val="24"/>
                <w:szCs w:val="24"/>
              </w:rPr>
            </w:pPr>
          </w:p>
        </w:tc>
        <w:tc>
          <w:tcPr>
            <w:tcW w:w="107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rPr>
                <w:rFonts w:ascii="仿宋" w:hAnsi="仿宋" w:eastAsia="仿宋" w:cs="仿宋_GB2312"/>
                <w:sz w:val="24"/>
                <w:szCs w:val="24"/>
              </w:rPr>
            </w:pPr>
          </w:p>
        </w:tc>
      </w:tr>
      <w:tr>
        <w:tblPrEx>
          <w:tblCellMar>
            <w:top w:w="0" w:type="dxa"/>
            <w:left w:w="108" w:type="dxa"/>
            <w:bottom w:w="0" w:type="dxa"/>
            <w:right w:w="108" w:type="dxa"/>
          </w:tblCellMar>
        </w:tblPrEx>
        <w:trPr>
          <w:trHeight w:val="411" w:hRule="atLeast"/>
          <w:jc w:val="center"/>
        </w:trPr>
        <w:tc>
          <w:tcPr>
            <w:tcW w:w="1128"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rPr>
                <w:rFonts w:ascii="仿宋" w:hAnsi="仿宋" w:eastAsia="仿宋" w:cs="仿宋_GB2312"/>
                <w:sz w:val="24"/>
                <w:szCs w:val="24"/>
              </w:rPr>
            </w:pP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color w:val="000000"/>
                <w:sz w:val="24"/>
                <w:szCs w:val="24"/>
              </w:rPr>
            </w:pPr>
            <w:r>
              <w:rPr>
                <w:rFonts w:hint="eastAsia" w:ascii="仿宋" w:hAnsi="仿宋" w:eastAsia="仿宋" w:cs="仿宋_GB2312"/>
                <w:color w:val="000000"/>
                <w:sz w:val="24"/>
                <w:szCs w:val="24"/>
              </w:rPr>
              <w:t>公共选修课</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通识级任选课</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rPr>
              <w:t>7</w:t>
            </w:r>
          </w:p>
        </w:tc>
        <w:tc>
          <w:tcPr>
            <w:tcW w:w="91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rPr>
              <w:t>7</w:t>
            </w:r>
          </w:p>
        </w:tc>
        <w:tc>
          <w:tcPr>
            <w:tcW w:w="8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rPr>
                <w:rFonts w:ascii="仿宋" w:hAnsi="仿宋" w:eastAsia="仿宋" w:cs="仿宋_GB2312"/>
                <w:sz w:val="24"/>
                <w:szCs w:val="24"/>
              </w:rPr>
            </w:pPr>
          </w:p>
        </w:tc>
        <w:tc>
          <w:tcPr>
            <w:tcW w:w="107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4</w:t>
            </w:r>
            <w:r>
              <w:rPr>
                <w:rFonts w:ascii="仿宋" w:hAnsi="仿宋" w:eastAsia="仿宋" w:cs="仿宋_GB2312"/>
                <w:color w:val="000000"/>
                <w:sz w:val="24"/>
                <w:szCs w:val="24"/>
              </w:rPr>
              <w:t>%</w:t>
            </w:r>
          </w:p>
        </w:tc>
      </w:tr>
      <w:tr>
        <w:tblPrEx>
          <w:tblCellMar>
            <w:top w:w="0" w:type="dxa"/>
            <w:left w:w="108" w:type="dxa"/>
            <w:bottom w:w="0" w:type="dxa"/>
            <w:right w:w="108" w:type="dxa"/>
          </w:tblCellMar>
        </w:tblPrEx>
        <w:trPr>
          <w:trHeight w:val="411" w:hRule="atLeast"/>
          <w:jc w:val="center"/>
        </w:trPr>
        <w:tc>
          <w:tcPr>
            <w:tcW w:w="1128" w:type="dxa"/>
            <w:vMerge w:val="restart"/>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rPr>
              <w:t>专业教育模块</w:t>
            </w:r>
          </w:p>
        </w:tc>
        <w:tc>
          <w:tcPr>
            <w:tcW w:w="1485" w:type="dxa"/>
            <w:vMerge w:val="restart"/>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color w:val="000000"/>
                <w:sz w:val="24"/>
                <w:szCs w:val="24"/>
              </w:rPr>
            </w:pPr>
            <w:r>
              <w:rPr>
                <w:rFonts w:hint="eastAsia" w:ascii="仿宋" w:hAnsi="仿宋" w:eastAsia="仿宋" w:cs="仿宋_GB2312"/>
                <w:color w:val="000000"/>
                <w:sz w:val="24"/>
                <w:szCs w:val="24"/>
              </w:rPr>
              <w:t>专业必修课</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rPr>
              <w:t>专业基础课</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≥32</w:t>
            </w:r>
          </w:p>
        </w:tc>
        <w:tc>
          <w:tcPr>
            <w:tcW w:w="911" w:type="dxa"/>
            <w:vMerge w:val="restart"/>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≤99</w:t>
            </w:r>
          </w:p>
        </w:tc>
        <w:tc>
          <w:tcPr>
            <w:tcW w:w="880" w:type="dxa"/>
            <w:vMerge w:val="restart"/>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≤122</w:t>
            </w:r>
          </w:p>
        </w:tc>
        <w:tc>
          <w:tcPr>
            <w:tcW w:w="10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57</w:t>
            </w:r>
            <w:r>
              <w:rPr>
                <w:rFonts w:ascii="仿宋" w:hAnsi="仿宋" w:eastAsia="仿宋" w:cs="仿宋_GB2312"/>
                <w:color w:val="000000"/>
                <w:sz w:val="24"/>
                <w:szCs w:val="24"/>
              </w:rPr>
              <w:t>%</w:t>
            </w:r>
          </w:p>
        </w:tc>
      </w:tr>
      <w:tr>
        <w:tblPrEx>
          <w:tblCellMar>
            <w:top w:w="0" w:type="dxa"/>
            <w:left w:w="108" w:type="dxa"/>
            <w:bottom w:w="0" w:type="dxa"/>
            <w:right w:w="108" w:type="dxa"/>
          </w:tblCellMar>
        </w:tblPrEx>
        <w:trPr>
          <w:trHeight w:val="411" w:hRule="atLeast"/>
          <w:jc w:val="center"/>
        </w:trPr>
        <w:tc>
          <w:tcPr>
            <w:tcW w:w="1128" w:type="dxa"/>
            <w:vMerge w:val="continue"/>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400" w:lineRule="exact"/>
              <w:rPr>
                <w:rFonts w:ascii="仿宋" w:hAnsi="仿宋" w:eastAsia="仿宋" w:cs="仿宋_GB2312"/>
                <w:sz w:val="24"/>
                <w:szCs w:val="24"/>
              </w:rPr>
            </w:pPr>
          </w:p>
        </w:tc>
        <w:tc>
          <w:tcPr>
            <w:tcW w:w="1485" w:type="dxa"/>
            <w:vMerge w:val="continue"/>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400" w:lineRule="exact"/>
              <w:rPr>
                <w:rFonts w:ascii="仿宋" w:hAnsi="仿宋" w:eastAsia="仿宋" w:cs="仿宋_GB2312"/>
                <w:sz w:val="24"/>
                <w:szCs w:val="24"/>
              </w:rPr>
            </w:pP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rPr>
              <w:t>专业方向课</w:t>
            </w:r>
          </w:p>
        </w:tc>
        <w:tc>
          <w:tcPr>
            <w:tcW w:w="946"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≤67</w:t>
            </w:r>
          </w:p>
        </w:tc>
        <w:tc>
          <w:tcPr>
            <w:tcW w:w="911" w:type="dxa"/>
            <w:vMerge w:val="continue"/>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400" w:lineRule="exact"/>
              <w:rPr>
                <w:rFonts w:ascii="仿宋" w:hAnsi="仿宋" w:eastAsia="仿宋" w:cs="仿宋_GB2312"/>
                <w:sz w:val="24"/>
                <w:szCs w:val="24"/>
              </w:rPr>
            </w:pPr>
          </w:p>
        </w:tc>
        <w:tc>
          <w:tcPr>
            <w:tcW w:w="880" w:type="dxa"/>
            <w:vMerge w:val="continue"/>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400" w:lineRule="exact"/>
              <w:rPr>
                <w:rFonts w:ascii="仿宋" w:hAnsi="仿宋" w:eastAsia="仿宋" w:cs="仿宋_GB2312"/>
                <w:sz w:val="24"/>
                <w:szCs w:val="24"/>
              </w:rPr>
            </w:pPr>
          </w:p>
        </w:tc>
        <w:tc>
          <w:tcPr>
            <w:tcW w:w="107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rPr>
                <w:rFonts w:ascii="仿宋" w:hAnsi="仿宋" w:eastAsia="仿宋" w:cs="仿宋_GB2312"/>
                <w:sz w:val="24"/>
                <w:szCs w:val="24"/>
              </w:rPr>
            </w:pPr>
          </w:p>
        </w:tc>
      </w:tr>
      <w:tr>
        <w:tblPrEx>
          <w:tblCellMar>
            <w:top w:w="0" w:type="dxa"/>
            <w:left w:w="108" w:type="dxa"/>
            <w:bottom w:w="0" w:type="dxa"/>
            <w:right w:w="108" w:type="dxa"/>
          </w:tblCellMar>
        </w:tblPrEx>
        <w:trPr>
          <w:trHeight w:val="411" w:hRule="atLeast"/>
          <w:jc w:val="center"/>
        </w:trPr>
        <w:tc>
          <w:tcPr>
            <w:tcW w:w="1128" w:type="dxa"/>
            <w:vMerge w:val="continue"/>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400" w:lineRule="exact"/>
              <w:rPr>
                <w:rFonts w:ascii="仿宋" w:hAnsi="仿宋" w:eastAsia="仿宋" w:cs="仿宋_GB2312"/>
                <w:sz w:val="24"/>
                <w:szCs w:val="24"/>
              </w:rPr>
            </w:pPr>
          </w:p>
        </w:tc>
        <w:tc>
          <w:tcPr>
            <w:tcW w:w="1485"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color w:val="000000"/>
                <w:sz w:val="24"/>
                <w:szCs w:val="24"/>
              </w:rPr>
            </w:pPr>
            <w:r>
              <w:rPr>
                <w:rFonts w:hint="eastAsia" w:ascii="仿宋" w:hAnsi="仿宋" w:eastAsia="仿宋" w:cs="仿宋_GB2312"/>
                <w:color w:val="000000"/>
                <w:sz w:val="24"/>
                <w:szCs w:val="24"/>
              </w:rPr>
              <w:t>专业选修课</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专业选修课程</w:t>
            </w:r>
          </w:p>
        </w:tc>
        <w:tc>
          <w:tcPr>
            <w:tcW w:w="946"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w:t>
            </w:r>
            <w:r>
              <w:rPr>
                <w:rFonts w:ascii="仿宋" w:hAnsi="仿宋" w:eastAsia="仿宋" w:cs="仿宋_GB2312"/>
                <w:color w:val="000000"/>
                <w:sz w:val="24"/>
                <w:szCs w:val="24"/>
              </w:rPr>
              <w:t>8</w:t>
            </w:r>
          </w:p>
        </w:tc>
        <w:tc>
          <w:tcPr>
            <w:tcW w:w="911"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w:t>
            </w:r>
            <w:r>
              <w:rPr>
                <w:rFonts w:ascii="仿宋" w:hAnsi="仿宋" w:eastAsia="仿宋" w:cs="仿宋_GB2312"/>
                <w:color w:val="000000"/>
                <w:sz w:val="24"/>
                <w:szCs w:val="24"/>
              </w:rPr>
              <w:t>8</w:t>
            </w:r>
          </w:p>
        </w:tc>
        <w:tc>
          <w:tcPr>
            <w:tcW w:w="880" w:type="dxa"/>
            <w:vMerge w:val="continue"/>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400" w:lineRule="exact"/>
              <w:rPr>
                <w:rFonts w:ascii="仿宋" w:hAnsi="仿宋" w:eastAsia="仿宋" w:cs="仿宋_GB2312"/>
                <w:sz w:val="24"/>
                <w:szCs w:val="24"/>
              </w:rPr>
            </w:pPr>
          </w:p>
        </w:tc>
        <w:tc>
          <w:tcPr>
            <w:tcW w:w="107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4.6</w:t>
            </w:r>
            <w:r>
              <w:rPr>
                <w:rFonts w:ascii="仿宋" w:hAnsi="仿宋" w:eastAsia="仿宋" w:cs="仿宋_GB2312"/>
                <w:color w:val="000000"/>
                <w:sz w:val="24"/>
                <w:szCs w:val="24"/>
              </w:rPr>
              <w:t>%</w:t>
            </w:r>
          </w:p>
        </w:tc>
      </w:tr>
      <w:tr>
        <w:tblPrEx>
          <w:tblCellMar>
            <w:top w:w="0" w:type="dxa"/>
            <w:left w:w="108" w:type="dxa"/>
            <w:bottom w:w="0" w:type="dxa"/>
            <w:right w:w="108" w:type="dxa"/>
          </w:tblCellMar>
        </w:tblPrEx>
        <w:trPr>
          <w:trHeight w:val="411" w:hRule="atLeast"/>
          <w:jc w:val="center"/>
        </w:trPr>
        <w:tc>
          <w:tcPr>
            <w:tcW w:w="1128" w:type="dxa"/>
            <w:vMerge w:val="continue"/>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400" w:lineRule="exact"/>
              <w:rPr>
                <w:rFonts w:ascii="仿宋" w:hAnsi="仿宋" w:eastAsia="仿宋" w:cs="仿宋_GB2312"/>
                <w:sz w:val="24"/>
                <w:szCs w:val="24"/>
              </w:rPr>
            </w:pPr>
          </w:p>
        </w:tc>
        <w:tc>
          <w:tcPr>
            <w:tcW w:w="1485" w:type="dxa"/>
            <w:vMerge w:val="restart"/>
            <w:tcBorders>
              <w:top w:val="nil"/>
              <w:left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color w:val="000000"/>
                <w:sz w:val="24"/>
                <w:szCs w:val="24"/>
              </w:rPr>
            </w:pPr>
            <w:r>
              <w:rPr>
                <w:rFonts w:hint="eastAsia" w:ascii="仿宋" w:hAnsi="仿宋" w:eastAsia="仿宋" w:cs="仿宋_GB2312"/>
                <w:color w:val="000000"/>
                <w:sz w:val="24"/>
                <w:szCs w:val="24"/>
              </w:rPr>
              <w:t>艺术实践</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艺术实践学分</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rPr>
                <w:rFonts w:ascii="仿宋" w:hAnsi="仿宋" w:eastAsia="仿宋" w:cs="仿宋_GB2312"/>
                <w:color w:val="000000"/>
                <w:sz w:val="24"/>
                <w:szCs w:val="24"/>
              </w:rPr>
            </w:pPr>
            <w:r>
              <w:rPr>
                <w:rFonts w:ascii="仿宋" w:hAnsi="仿宋" w:eastAsia="仿宋" w:cs="仿宋_GB2312"/>
                <w:color w:val="000000"/>
                <w:sz w:val="24"/>
                <w:szCs w:val="24"/>
              </w:rPr>
              <w:t>10</w:t>
            </w:r>
          </w:p>
        </w:tc>
        <w:tc>
          <w:tcPr>
            <w:tcW w:w="911"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rPr>
                <w:rFonts w:ascii="仿宋" w:hAnsi="仿宋" w:eastAsia="仿宋" w:cs="仿宋_GB2312"/>
                <w:color w:val="000000"/>
                <w:sz w:val="24"/>
                <w:szCs w:val="24"/>
              </w:rPr>
            </w:pPr>
            <w:r>
              <w:rPr>
                <w:rFonts w:ascii="仿宋" w:hAnsi="仿宋" w:eastAsia="仿宋" w:cs="仿宋_GB2312"/>
                <w:color w:val="000000"/>
                <w:sz w:val="24"/>
                <w:szCs w:val="24"/>
              </w:rPr>
              <w:t>10</w:t>
            </w:r>
          </w:p>
        </w:tc>
        <w:tc>
          <w:tcPr>
            <w:tcW w:w="880" w:type="dxa"/>
            <w:vMerge w:val="continue"/>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400" w:lineRule="exact"/>
              <w:rPr>
                <w:rFonts w:ascii="仿宋" w:hAnsi="仿宋" w:eastAsia="仿宋" w:cs="仿宋_GB2312"/>
                <w:sz w:val="24"/>
                <w:szCs w:val="24"/>
              </w:rPr>
            </w:pPr>
          </w:p>
        </w:tc>
        <w:tc>
          <w:tcPr>
            <w:tcW w:w="107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5.7</w:t>
            </w:r>
            <w:r>
              <w:rPr>
                <w:rFonts w:ascii="仿宋" w:hAnsi="仿宋" w:eastAsia="仿宋" w:cs="仿宋_GB2312"/>
                <w:color w:val="000000"/>
                <w:sz w:val="24"/>
                <w:szCs w:val="24"/>
              </w:rPr>
              <w:t>%</w:t>
            </w:r>
          </w:p>
        </w:tc>
      </w:tr>
      <w:tr>
        <w:tblPrEx>
          <w:tblCellMar>
            <w:top w:w="0" w:type="dxa"/>
            <w:left w:w="108" w:type="dxa"/>
            <w:bottom w:w="0" w:type="dxa"/>
            <w:right w:w="108" w:type="dxa"/>
          </w:tblCellMar>
        </w:tblPrEx>
        <w:trPr>
          <w:trHeight w:val="325" w:hRule="atLeast"/>
          <w:jc w:val="center"/>
        </w:trPr>
        <w:tc>
          <w:tcPr>
            <w:tcW w:w="1128" w:type="dxa"/>
            <w:vMerge w:val="continue"/>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400" w:lineRule="exact"/>
              <w:rPr>
                <w:rFonts w:ascii="仿宋" w:hAnsi="仿宋" w:eastAsia="仿宋" w:cs="仿宋_GB2312"/>
                <w:sz w:val="24"/>
                <w:szCs w:val="24"/>
              </w:rPr>
            </w:pPr>
          </w:p>
        </w:tc>
        <w:tc>
          <w:tcPr>
            <w:tcW w:w="1485" w:type="dxa"/>
            <w:vMerge w:val="continue"/>
            <w:tcBorders>
              <w:left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color w:val="000000"/>
                <w:sz w:val="24"/>
                <w:szCs w:val="24"/>
              </w:rPr>
            </w:pP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毕业展演与文案综述（理论类专业为毕业论文）</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5</w:t>
            </w:r>
          </w:p>
        </w:tc>
        <w:tc>
          <w:tcPr>
            <w:tcW w:w="911" w:type="dxa"/>
            <w:tcBorders>
              <w:top w:val="nil"/>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400" w:lineRule="exact"/>
              <w:jc w:val="center"/>
              <w:rPr>
                <w:rFonts w:ascii="仿宋" w:hAnsi="仿宋" w:eastAsia="仿宋" w:cs="仿宋_GB2312"/>
                <w:color w:val="000000"/>
                <w:sz w:val="24"/>
                <w:szCs w:val="24"/>
              </w:rPr>
            </w:pPr>
            <w:r>
              <w:rPr>
                <w:rFonts w:ascii="仿宋" w:hAnsi="仿宋" w:eastAsia="仿宋" w:cs="仿宋_GB2312"/>
                <w:color w:val="000000"/>
                <w:sz w:val="24"/>
                <w:szCs w:val="24"/>
              </w:rPr>
              <w:t>5</w:t>
            </w:r>
          </w:p>
        </w:tc>
        <w:tc>
          <w:tcPr>
            <w:tcW w:w="880" w:type="dxa"/>
            <w:vMerge w:val="continue"/>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400" w:lineRule="exact"/>
              <w:rPr>
                <w:rFonts w:ascii="仿宋" w:hAnsi="仿宋" w:eastAsia="仿宋" w:cs="仿宋_GB2312"/>
                <w:sz w:val="24"/>
                <w:szCs w:val="24"/>
              </w:rPr>
            </w:pPr>
          </w:p>
        </w:tc>
        <w:tc>
          <w:tcPr>
            <w:tcW w:w="107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2.9</w:t>
            </w:r>
            <w:r>
              <w:rPr>
                <w:rFonts w:ascii="仿宋" w:hAnsi="仿宋" w:eastAsia="仿宋" w:cs="仿宋_GB2312"/>
                <w:color w:val="000000"/>
                <w:sz w:val="24"/>
                <w:szCs w:val="24"/>
              </w:rPr>
              <w:t>%</w:t>
            </w:r>
          </w:p>
        </w:tc>
      </w:tr>
      <w:tr>
        <w:tblPrEx>
          <w:tblCellMar>
            <w:top w:w="0" w:type="dxa"/>
            <w:left w:w="108" w:type="dxa"/>
            <w:bottom w:w="0" w:type="dxa"/>
            <w:right w:w="108" w:type="dxa"/>
          </w:tblCellMar>
        </w:tblPrEx>
        <w:trPr>
          <w:trHeight w:val="424" w:hRule="atLeast"/>
          <w:jc w:val="center"/>
        </w:trPr>
        <w:tc>
          <w:tcPr>
            <w:tcW w:w="4446" w:type="dxa"/>
            <w:gridSpan w:val="3"/>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总</w:t>
            </w:r>
            <w:r>
              <w:rPr>
                <w:rFonts w:ascii="仿宋" w:hAnsi="仿宋" w:eastAsia="仿宋" w:cs="仿宋_GB2312"/>
                <w:color w:val="000000"/>
                <w:kern w:val="0"/>
                <w:sz w:val="24"/>
                <w:szCs w:val="24"/>
              </w:rPr>
              <w:t xml:space="preserve">         </w:t>
            </w:r>
            <w:r>
              <w:rPr>
                <w:rFonts w:hint="eastAsia" w:ascii="仿宋" w:hAnsi="仿宋" w:eastAsia="仿宋" w:cs="仿宋_GB2312"/>
                <w:color w:val="000000"/>
                <w:kern w:val="0"/>
                <w:sz w:val="24"/>
                <w:szCs w:val="24"/>
              </w:rPr>
              <w:t>计</w:t>
            </w:r>
          </w:p>
        </w:tc>
        <w:tc>
          <w:tcPr>
            <w:tcW w:w="381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rPr>
                <w:rFonts w:ascii="仿宋" w:hAnsi="仿宋" w:eastAsia="仿宋" w:cs="仿宋_GB2312"/>
                <w:color w:val="000000"/>
                <w:sz w:val="24"/>
                <w:szCs w:val="24"/>
              </w:rPr>
            </w:pPr>
            <w:r>
              <w:rPr>
                <w:rFonts w:ascii="仿宋" w:hAnsi="仿宋" w:eastAsia="仿宋" w:cs="仿宋_GB2312"/>
                <w:color w:val="000000"/>
                <w:sz w:val="24"/>
                <w:szCs w:val="24"/>
              </w:rPr>
              <w:t>1</w:t>
            </w:r>
            <w:r>
              <w:rPr>
                <w:rFonts w:hint="eastAsia" w:ascii="仿宋" w:hAnsi="仿宋" w:eastAsia="仿宋" w:cs="仿宋_GB2312"/>
                <w:color w:val="000000"/>
                <w:sz w:val="24"/>
                <w:szCs w:val="24"/>
              </w:rPr>
              <w:t>35≤总学分≤175</w:t>
            </w:r>
          </w:p>
        </w:tc>
      </w:tr>
    </w:tbl>
    <w:p>
      <w:pPr>
        <w:spacing w:line="500" w:lineRule="exact"/>
        <w:ind w:firstLine="480" w:firstLineChars="200"/>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注：对毕业环节的要求从</w:t>
      </w:r>
      <w:r>
        <w:rPr>
          <w:rFonts w:ascii="仿宋" w:hAnsi="仿宋" w:eastAsia="仿宋" w:cs="仿宋_GB2312"/>
          <w:color w:val="000000"/>
          <w:kern w:val="0"/>
          <w:sz w:val="24"/>
          <w:szCs w:val="24"/>
        </w:rPr>
        <w:t>2014</w:t>
      </w:r>
      <w:r>
        <w:rPr>
          <w:rFonts w:hint="eastAsia" w:ascii="仿宋" w:hAnsi="仿宋" w:eastAsia="仿宋" w:cs="仿宋_GB2312"/>
          <w:color w:val="000000"/>
          <w:kern w:val="0"/>
          <w:sz w:val="24"/>
          <w:szCs w:val="24"/>
        </w:rPr>
        <w:t>级学生开始执行。</w:t>
      </w:r>
    </w:p>
    <w:p>
      <w:pPr>
        <w:spacing w:line="520" w:lineRule="exact"/>
        <w:ind w:firstLine="640" w:firstLineChars="200"/>
        <w:rPr>
          <w:rFonts w:ascii="楷体" w:hAnsi="楷体" w:eastAsia="楷体" w:cs="宋体"/>
          <w:sz w:val="32"/>
          <w:szCs w:val="32"/>
        </w:rPr>
      </w:pPr>
      <w:r>
        <w:rPr>
          <w:rFonts w:hint="eastAsia" w:ascii="楷体" w:hAnsi="楷体" w:eastAsia="楷体" w:cs="宋体"/>
          <w:sz w:val="32"/>
          <w:szCs w:val="32"/>
        </w:rPr>
        <w:t>（三）学分计算办法</w:t>
      </w:r>
    </w:p>
    <w:p>
      <w:pPr>
        <w:numPr>
          <w:ilvl w:val="255"/>
          <w:numId w:val="0"/>
        </w:num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（1）学分计算以0.5学分为最小值（特殊情况再议，如：《筑梦》为每学期0.4学分）。</w:t>
      </w:r>
    </w:p>
    <w:p>
      <w:pPr>
        <w:numPr>
          <w:ilvl w:val="255"/>
          <w:numId w:val="0"/>
        </w:num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（2）每门开设课程的总学时原则上不应低于16学时，低于16学时的课程应以讲座、研讨等形式开课。</w:t>
      </w:r>
    </w:p>
    <w:p>
      <w:pPr>
        <w:numPr>
          <w:ilvl w:val="255"/>
          <w:numId w:val="0"/>
        </w:num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3）公共必修理论课一般应每18学时计1学分；体育课分项教学，每36学时（含实践环节）计1学分；通识级面授公共选修课每16学时计1学分；毕业论文或毕业展演与毕业文案综述总计5学分；专业理论课、专业方向课、专业选修课等可以根据授课情况以16、18、20、40课时折算1学分，具体参照以下专业课学分、学时配比配比表进行计算：</w:t>
      </w:r>
    </w:p>
    <w:p>
      <w:pPr>
        <w:jc w:val="center"/>
        <w:rPr>
          <w:rFonts w:ascii="仿宋" w:hAnsi="仿宋" w:eastAsia="仿宋" w:cs="仿宋"/>
          <w:sz w:val="24"/>
          <w:szCs w:val="24"/>
        </w:rPr>
      </w:pPr>
      <w:r>
        <w:rPr>
          <w:rFonts w:hint="eastAsia" w:ascii="仿宋" w:hAnsi="仿宋" w:eastAsia="仿宋" w:cs="仿宋"/>
          <w:b/>
          <w:sz w:val="28"/>
          <w:szCs w:val="28"/>
        </w:rPr>
        <w:t>吉林艺术学院学分、学时配比表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101"/>
        <w:gridCol w:w="2385"/>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30" w:type="dxa"/>
          </w:tcPr>
          <w:p>
            <w:pPr>
              <w:spacing w:line="500" w:lineRule="exact"/>
              <w:ind w:firstLine="2"/>
              <w:jc w:val="center"/>
              <w:rPr>
                <w:rFonts w:ascii="仿宋" w:hAnsi="仿宋" w:eastAsia="仿宋" w:cs="仿宋_GB2312"/>
                <w:bCs/>
                <w:sz w:val="24"/>
                <w:szCs w:val="24"/>
              </w:rPr>
            </w:pPr>
            <w:r>
              <w:rPr>
                <w:rFonts w:hint="eastAsia" w:ascii="仿宋" w:hAnsi="仿宋" w:eastAsia="仿宋" w:cs="仿宋_GB2312"/>
                <w:bCs/>
                <w:sz w:val="24"/>
                <w:szCs w:val="24"/>
              </w:rPr>
              <w:t>序号</w:t>
            </w:r>
          </w:p>
        </w:tc>
        <w:tc>
          <w:tcPr>
            <w:tcW w:w="3101" w:type="dxa"/>
          </w:tcPr>
          <w:p>
            <w:pPr>
              <w:spacing w:line="500" w:lineRule="exact"/>
              <w:ind w:firstLine="2"/>
              <w:jc w:val="center"/>
              <w:rPr>
                <w:rFonts w:ascii="仿宋" w:hAnsi="仿宋" w:eastAsia="仿宋" w:cs="仿宋_GB2312"/>
                <w:bCs/>
                <w:sz w:val="24"/>
                <w:szCs w:val="24"/>
              </w:rPr>
            </w:pPr>
            <w:r>
              <w:rPr>
                <w:rFonts w:hint="eastAsia" w:ascii="仿宋" w:hAnsi="仿宋" w:eastAsia="仿宋" w:cs="仿宋_GB2312"/>
                <w:bCs/>
                <w:sz w:val="24"/>
                <w:szCs w:val="24"/>
              </w:rPr>
              <w:t>课程属性</w:t>
            </w:r>
          </w:p>
        </w:tc>
        <w:tc>
          <w:tcPr>
            <w:tcW w:w="2385" w:type="dxa"/>
          </w:tcPr>
          <w:p>
            <w:pPr>
              <w:spacing w:line="500" w:lineRule="exact"/>
              <w:ind w:firstLine="2"/>
              <w:jc w:val="center"/>
              <w:rPr>
                <w:rFonts w:ascii="仿宋" w:hAnsi="仿宋" w:eastAsia="仿宋" w:cs="仿宋_GB2312"/>
                <w:bCs/>
                <w:sz w:val="24"/>
                <w:szCs w:val="24"/>
              </w:rPr>
            </w:pPr>
            <w:r>
              <w:rPr>
                <w:rFonts w:hint="eastAsia" w:ascii="仿宋" w:hAnsi="仿宋" w:eastAsia="仿宋" w:cs="仿宋_GB2312"/>
                <w:bCs/>
                <w:sz w:val="24"/>
                <w:szCs w:val="24"/>
              </w:rPr>
              <w:t>学分、学时配比</w:t>
            </w:r>
          </w:p>
        </w:tc>
        <w:tc>
          <w:tcPr>
            <w:tcW w:w="1904" w:type="dxa"/>
          </w:tcPr>
          <w:p>
            <w:pPr>
              <w:spacing w:line="500" w:lineRule="exact"/>
              <w:ind w:firstLine="2"/>
              <w:jc w:val="center"/>
              <w:rPr>
                <w:rFonts w:ascii="仿宋" w:hAnsi="仿宋" w:eastAsia="仿宋" w:cs="仿宋_GB2312"/>
                <w:bCs/>
                <w:sz w:val="24"/>
                <w:szCs w:val="24"/>
              </w:rPr>
            </w:pPr>
            <w:r>
              <w:rPr>
                <w:rFonts w:hint="eastAsia" w:ascii="仿宋" w:hAnsi="仿宋" w:eastAsia="仿宋" w:cs="仿宋_GB2312"/>
                <w:bCs/>
                <w:sz w:val="24"/>
                <w:szCs w:val="24"/>
              </w:rPr>
              <w:t>学时</w:t>
            </w:r>
            <w:r>
              <w:rPr>
                <w:rFonts w:ascii="仿宋" w:hAnsi="仿宋" w:eastAsia="仿宋" w:cs="仿宋_GB2312"/>
                <w:bCs/>
                <w:sz w:val="24"/>
                <w:szCs w:val="24"/>
              </w:rPr>
              <w:t>/</w:t>
            </w:r>
            <w:r>
              <w:rPr>
                <w:rFonts w:hint="eastAsia" w:ascii="仿宋" w:hAnsi="仿宋" w:eastAsia="仿宋" w:cs="仿宋_GB2312"/>
                <w:bCs/>
                <w:sz w:val="24"/>
                <w:szCs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30" w:type="dxa"/>
          </w:tcPr>
          <w:p>
            <w:pPr>
              <w:spacing w:line="500" w:lineRule="exact"/>
              <w:ind w:firstLine="2"/>
              <w:jc w:val="center"/>
              <w:rPr>
                <w:rFonts w:ascii="仿宋" w:hAnsi="仿宋" w:eastAsia="仿宋" w:cs="仿宋_GB2312"/>
                <w:bCs/>
                <w:sz w:val="24"/>
                <w:szCs w:val="24"/>
              </w:rPr>
            </w:pPr>
            <w:r>
              <w:rPr>
                <w:rFonts w:ascii="仿宋" w:hAnsi="仿宋" w:eastAsia="仿宋" w:cs="仿宋_GB2312"/>
                <w:bCs/>
                <w:sz w:val="24"/>
                <w:szCs w:val="24"/>
              </w:rPr>
              <w:t>1</w:t>
            </w:r>
          </w:p>
        </w:tc>
        <w:tc>
          <w:tcPr>
            <w:tcW w:w="3101" w:type="dxa"/>
          </w:tcPr>
          <w:p>
            <w:pPr>
              <w:spacing w:line="500" w:lineRule="exact"/>
              <w:ind w:firstLine="2"/>
              <w:jc w:val="center"/>
              <w:rPr>
                <w:rFonts w:ascii="仿宋" w:hAnsi="仿宋" w:eastAsia="仿宋" w:cs="仿宋_GB2312"/>
                <w:bCs/>
                <w:sz w:val="24"/>
                <w:szCs w:val="24"/>
              </w:rPr>
            </w:pPr>
            <w:r>
              <w:rPr>
                <w:rFonts w:hint="eastAsia" w:ascii="仿宋" w:hAnsi="仿宋" w:eastAsia="仿宋" w:cs="仿宋_GB2312"/>
                <w:bCs/>
                <w:sz w:val="24"/>
                <w:szCs w:val="24"/>
              </w:rPr>
              <w:t>理论课</w:t>
            </w:r>
          </w:p>
        </w:tc>
        <w:tc>
          <w:tcPr>
            <w:tcW w:w="2385" w:type="dxa"/>
          </w:tcPr>
          <w:p>
            <w:pPr>
              <w:spacing w:line="500" w:lineRule="exact"/>
              <w:ind w:firstLine="2"/>
              <w:jc w:val="center"/>
              <w:rPr>
                <w:rFonts w:ascii="仿宋" w:hAnsi="仿宋" w:eastAsia="仿宋" w:cs="仿宋_GB2312"/>
                <w:bCs/>
                <w:sz w:val="24"/>
                <w:szCs w:val="24"/>
              </w:rPr>
            </w:pPr>
            <w:r>
              <w:rPr>
                <w:rFonts w:ascii="仿宋" w:hAnsi="仿宋" w:eastAsia="仿宋" w:cs="仿宋_GB2312"/>
                <w:bCs/>
                <w:sz w:val="24"/>
                <w:szCs w:val="24"/>
              </w:rPr>
              <w:t>1</w:t>
            </w:r>
            <w:r>
              <w:rPr>
                <w:rFonts w:hint="eastAsia" w:ascii="仿宋" w:hAnsi="仿宋" w:eastAsia="仿宋" w:cs="仿宋_GB2312"/>
                <w:bCs/>
                <w:sz w:val="24"/>
                <w:szCs w:val="24"/>
              </w:rPr>
              <w:t>：</w:t>
            </w:r>
            <w:r>
              <w:rPr>
                <w:rFonts w:ascii="仿宋" w:hAnsi="仿宋" w:eastAsia="仿宋" w:cs="仿宋_GB2312"/>
                <w:bCs/>
                <w:sz w:val="24"/>
                <w:szCs w:val="24"/>
              </w:rPr>
              <w:t>18</w:t>
            </w:r>
            <w:r>
              <w:rPr>
                <w:rFonts w:hint="eastAsia" w:ascii="仿宋" w:hAnsi="仿宋" w:eastAsia="仿宋" w:cs="仿宋_GB2312"/>
                <w:bCs/>
                <w:sz w:val="24"/>
                <w:szCs w:val="24"/>
              </w:rPr>
              <w:t>（</w:t>
            </w:r>
            <w:r>
              <w:rPr>
                <w:rFonts w:ascii="仿宋" w:hAnsi="仿宋" w:eastAsia="仿宋" w:cs="仿宋_GB2312"/>
                <w:bCs/>
                <w:sz w:val="24"/>
                <w:szCs w:val="24"/>
              </w:rPr>
              <w:t>20</w:t>
            </w:r>
            <w:r>
              <w:rPr>
                <w:rFonts w:hint="eastAsia" w:ascii="仿宋" w:hAnsi="仿宋" w:eastAsia="仿宋" w:cs="仿宋_GB2312"/>
                <w:bCs/>
                <w:sz w:val="24"/>
                <w:szCs w:val="24"/>
              </w:rPr>
              <w:t>）</w:t>
            </w:r>
          </w:p>
        </w:tc>
        <w:tc>
          <w:tcPr>
            <w:tcW w:w="1904" w:type="dxa"/>
          </w:tcPr>
          <w:p>
            <w:pPr>
              <w:spacing w:line="500" w:lineRule="exact"/>
              <w:ind w:firstLine="2"/>
              <w:jc w:val="center"/>
              <w:rPr>
                <w:rFonts w:ascii="仿宋" w:hAnsi="仿宋" w:eastAsia="仿宋" w:cs="仿宋_GB2312"/>
                <w:bCs/>
                <w:sz w:val="24"/>
                <w:szCs w:val="24"/>
              </w:rPr>
            </w:pPr>
            <w:r>
              <w:rPr>
                <w:rFonts w:ascii="仿宋" w:hAnsi="仿宋" w:eastAsia="仿宋" w:cs="仿宋_GB2312"/>
                <w:bCs/>
                <w:sz w:val="24"/>
                <w:szCs w:val="24"/>
              </w:rPr>
              <w:t>18</w:t>
            </w:r>
            <w:r>
              <w:rPr>
                <w:rFonts w:hint="eastAsia" w:ascii="仿宋" w:hAnsi="仿宋" w:eastAsia="仿宋" w:cs="仿宋_GB2312"/>
                <w:bCs/>
                <w:sz w:val="24"/>
                <w:szCs w:val="24"/>
              </w:rPr>
              <w:t>（</w:t>
            </w:r>
            <w:r>
              <w:rPr>
                <w:rFonts w:ascii="仿宋" w:hAnsi="仿宋" w:eastAsia="仿宋" w:cs="仿宋_GB2312"/>
                <w:bCs/>
                <w:sz w:val="24"/>
                <w:szCs w:val="24"/>
              </w:rPr>
              <w:t>20</w:t>
            </w:r>
            <w:r>
              <w:rPr>
                <w:rFonts w:hint="eastAsia" w:ascii="仿宋" w:hAnsi="仿宋" w:eastAsia="仿宋" w:cs="仿宋_GB2312"/>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30" w:type="dxa"/>
          </w:tcPr>
          <w:p>
            <w:pPr>
              <w:spacing w:line="500" w:lineRule="exact"/>
              <w:ind w:firstLine="2"/>
              <w:jc w:val="center"/>
              <w:rPr>
                <w:rFonts w:ascii="仿宋" w:hAnsi="仿宋" w:eastAsia="仿宋" w:cs="仿宋_GB2312"/>
                <w:bCs/>
                <w:sz w:val="24"/>
                <w:szCs w:val="24"/>
              </w:rPr>
            </w:pPr>
            <w:r>
              <w:rPr>
                <w:rFonts w:ascii="仿宋" w:hAnsi="仿宋" w:eastAsia="仿宋" w:cs="仿宋_GB2312"/>
                <w:bCs/>
                <w:sz w:val="24"/>
                <w:szCs w:val="24"/>
              </w:rPr>
              <w:t>2</w:t>
            </w:r>
          </w:p>
        </w:tc>
        <w:tc>
          <w:tcPr>
            <w:tcW w:w="3101" w:type="dxa"/>
          </w:tcPr>
          <w:p>
            <w:pPr>
              <w:spacing w:line="500" w:lineRule="exact"/>
              <w:ind w:firstLine="2"/>
              <w:jc w:val="center"/>
              <w:rPr>
                <w:rFonts w:ascii="仿宋" w:hAnsi="仿宋" w:eastAsia="仿宋" w:cs="仿宋_GB2312"/>
                <w:bCs/>
                <w:sz w:val="24"/>
                <w:szCs w:val="24"/>
              </w:rPr>
            </w:pPr>
            <w:r>
              <w:rPr>
                <w:rFonts w:hint="eastAsia" w:ascii="仿宋" w:hAnsi="仿宋" w:eastAsia="仿宋" w:cs="仿宋_GB2312"/>
                <w:bCs/>
                <w:sz w:val="24"/>
                <w:szCs w:val="24"/>
              </w:rPr>
              <w:t>理论与技能结合课</w:t>
            </w:r>
          </w:p>
        </w:tc>
        <w:tc>
          <w:tcPr>
            <w:tcW w:w="2385" w:type="dxa"/>
          </w:tcPr>
          <w:p>
            <w:pPr>
              <w:spacing w:line="500" w:lineRule="exact"/>
              <w:ind w:firstLine="2"/>
              <w:jc w:val="center"/>
              <w:rPr>
                <w:rFonts w:ascii="仿宋" w:hAnsi="仿宋" w:eastAsia="仿宋" w:cs="仿宋_GB2312"/>
                <w:bCs/>
                <w:sz w:val="24"/>
                <w:szCs w:val="24"/>
              </w:rPr>
            </w:pPr>
            <w:r>
              <w:rPr>
                <w:rFonts w:ascii="仿宋" w:hAnsi="仿宋" w:eastAsia="仿宋" w:cs="仿宋_GB2312"/>
                <w:bCs/>
                <w:sz w:val="24"/>
                <w:szCs w:val="24"/>
              </w:rPr>
              <w:t>1</w:t>
            </w:r>
            <w:r>
              <w:rPr>
                <w:rFonts w:hint="eastAsia" w:ascii="仿宋" w:hAnsi="仿宋" w:eastAsia="仿宋" w:cs="仿宋_GB2312"/>
                <w:bCs/>
                <w:sz w:val="24"/>
                <w:szCs w:val="24"/>
              </w:rPr>
              <w:t>：</w:t>
            </w:r>
            <w:r>
              <w:rPr>
                <w:rFonts w:ascii="仿宋" w:hAnsi="仿宋" w:eastAsia="仿宋" w:cs="仿宋_GB2312"/>
                <w:bCs/>
                <w:sz w:val="24"/>
                <w:szCs w:val="24"/>
              </w:rPr>
              <w:t>18</w:t>
            </w:r>
            <w:r>
              <w:rPr>
                <w:rFonts w:hint="eastAsia" w:ascii="仿宋" w:hAnsi="仿宋" w:eastAsia="仿宋" w:cs="仿宋_GB2312"/>
                <w:bCs/>
                <w:sz w:val="24"/>
                <w:szCs w:val="24"/>
              </w:rPr>
              <w:t>（</w:t>
            </w:r>
            <w:r>
              <w:rPr>
                <w:rFonts w:ascii="仿宋" w:hAnsi="仿宋" w:eastAsia="仿宋" w:cs="仿宋_GB2312"/>
                <w:bCs/>
                <w:sz w:val="24"/>
                <w:szCs w:val="24"/>
              </w:rPr>
              <w:t>20</w:t>
            </w:r>
            <w:r>
              <w:rPr>
                <w:rFonts w:hint="eastAsia" w:ascii="仿宋" w:hAnsi="仿宋" w:eastAsia="仿宋" w:cs="仿宋_GB2312"/>
                <w:bCs/>
                <w:sz w:val="24"/>
                <w:szCs w:val="24"/>
              </w:rPr>
              <w:t>）</w:t>
            </w:r>
          </w:p>
        </w:tc>
        <w:tc>
          <w:tcPr>
            <w:tcW w:w="1904" w:type="dxa"/>
          </w:tcPr>
          <w:p>
            <w:pPr>
              <w:spacing w:line="500" w:lineRule="exact"/>
              <w:ind w:firstLine="2"/>
              <w:jc w:val="center"/>
              <w:rPr>
                <w:rFonts w:ascii="仿宋" w:hAnsi="仿宋" w:eastAsia="仿宋" w:cs="仿宋_GB2312"/>
                <w:bCs/>
                <w:sz w:val="24"/>
                <w:szCs w:val="24"/>
              </w:rPr>
            </w:pPr>
            <w:r>
              <w:rPr>
                <w:rFonts w:ascii="仿宋" w:hAnsi="仿宋" w:eastAsia="仿宋" w:cs="仿宋_GB2312"/>
                <w:bCs/>
                <w:sz w:val="24"/>
                <w:szCs w:val="24"/>
              </w:rPr>
              <w:t>18</w:t>
            </w:r>
            <w:r>
              <w:rPr>
                <w:rFonts w:hint="eastAsia" w:ascii="仿宋" w:hAnsi="仿宋" w:eastAsia="仿宋" w:cs="仿宋_GB2312"/>
                <w:bCs/>
                <w:sz w:val="24"/>
                <w:szCs w:val="24"/>
              </w:rPr>
              <w:t>（</w:t>
            </w:r>
            <w:r>
              <w:rPr>
                <w:rFonts w:ascii="仿宋" w:hAnsi="仿宋" w:eastAsia="仿宋" w:cs="仿宋_GB2312"/>
                <w:bCs/>
                <w:sz w:val="24"/>
                <w:szCs w:val="24"/>
              </w:rPr>
              <w:t>20</w:t>
            </w:r>
            <w:r>
              <w:rPr>
                <w:rFonts w:hint="eastAsia" w:ascii="仿宋" w:hAnsi="仿宋" w:eastAsia="仿宋" w:cs="仿宋_GB2312"/>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30" w:type="dxa"/>
          </w:tcPr>
          <w:p>
            <w:pPr>
              <w:spacing w:line="500" w:lineRule="exact"/>
              <w:ind w:firstLine="2"/>
              <w:jc w:val="center"/>
              <w:rPr>
                <w:rFonts w:ascii="仿宋" w:hAnsi="仿宋" w:eastAsia="仿宋" w:cs="仿宋_GB2312"/>
                <w:bCs/>
                <w:sz w:val="24"/>
                <w:szCs w:val="24"/>
              </w:rPr>
            </w:pPr>
            <w:r>
              <w:rPr>
                <w:rFonts w:ascii="仿宋" w:hAnsi="仿宋" w:eastAsia="仿宋" w:cs="仿宋_GB2312"/>
                <w:bCs/>
                <w:sz w:val="24"/>
                <w:szCs w:val="24"/>
              </w:rPr>
              <w:t>3</w:t>
            </w:r>
          </w:p>
        </w:tc>
        <w:tc>
          <w:tcPr>
            <w:tcW w:w="3101" w:type="dxa"/>
          </w:tcPr>
          <w:p>
            <w:pPr>
              <w:spacing w:line="500" w:lineRule="exact"/>
              <w:ind w:firstLine="2"/>
              <w:jc w:val="center"/>
              <w:rPr>
                <w:rFonts w:ascii="仿宋" w:hAnsi="仿宋" w:eastAsia="仿宋" w:cs="仿宋_GB2312"/>
                <w:bCs/>
                <w:sz w:val="24"/>
                <w:szCs w:val="24"/>
              </w:rPr>
            </w:pPr>
            <w:r>
              <w:rPr>
                <w:rFonts w:hint="eastAsia" w:ascii="仿宋" w:hAnsi="仿宋" w:eastAsia="仿宋" w:cs="仿宋_GB2312"/>
                <w:bCs/>
                <w:sz w:val="24"/>
                <w:szCs w:val="24"/>
              </w:rPr>
              <w:t>课内实验课</w:t>
            </w:r>
          </w:p>
        </w:tc>
        <w:tc>
          <w:tcPr>
            <w:tcW w:w="2385" w:type="dxa"/>
          </w:tcPr>
          <w:p>
            <w:pPr>
              <w:spacing w:line="500" w:lineRule="exact"/>
              <w:ind w:firstLine="2"/>
              <w:jc w:val="center"/>
              <w:rPr>
                <w:rFonts w:ascii="仿宋" w:hAnsi="仿宋" w:eastAsia="仿宋" w:cs="仿宋_GB2312"/>
                <w:bCs/>
                <w:sz w:val="24"/>
                <w:szCs w:val="24"/>
              </w:rPr>
            </w:pPr>
            <w:r>
              <w:rPr>
                <w:rFonts w:ascii="仿宋" w:hAnsi="仿宋" w:eastAsia="仿宋" w:cs="仿宋_GB2312"/>
                <w:bCs/>
                <w:sz w:val="24"/>
                <w:szCs w:val="24"/>
              </w:rPr>
              <w:t>1</w:t>
            </w:r>
            <w:r>
              <w:rPr>
                <w:rFonts w:hint="eastAsia" w:ascii="仿宋" w:hAnsi="仿宋" w:eastAsia="仿宋" w:cs="仿宋_GB2312"/>
                <w:bCs/>
                <w:sz w:val="24"/>
                <w:szCs w:val="24"/>
              </w:rPr>
              <w:t>：</w:t>
            </w:r>
            <w:r>
              <w:rPr>
                <w:rFonts w:ascii="仿宋" w:hAnsi="仿宋" w:eastAsia="仿宋" w:cs="仿宋_GB2312"/>
                <w:bCs/>
                <w:sz w:val="24"/>
                <w:szCs w:val="24"/>
              </w:rPr>
              <w:t>18</w:t>
            </w:r>
            <w:r>
              <w:rPr>
                <w:rFonts w:hint="eastAsia" w:ascii="仿宋" w:hAnsi="仿宋" w:eastAsia="仿宋" w:cs="仿宋_GB2312"/>
                <w:bCs/>
                <w:sz w:val="24"/>
                <w:szCs w:val="24"/>
              </w:rPr>
              <w:t>（</w:t>
            </w:r>
            <w:r>
              <w:rPr>
                <w:rFonts w:ascii="仿宋" w:hAnsi="仿宋" w:eastAsia="仿宋" w:cs="仿宋_GB2312"/>
                <w:bCs/>
                <w:sz w:val="24"/>
                <w:szCs w:val="24"/>
              </w:rPr>
              <w:t>20</w:t>
            </w:r>
            <w:r>
              <w:rPr>
                <w:rFonts w:hint="eastAsia" w:ascii="仿宋" w:hAnsi="仿宋" w:eastAsia="仿宋" w:cs="仿宋_GB2312"/>
                <w:bCs/>
                <w:sz w:val="24"/>
                <w:szCs w:val="24"/>
              </w:rPr>
              <w:t>）</w:t>
            </w:r>
          </w:p>
        </w:tc>
        <w:tc>
          <w:tcPr>
            <w:tcW w:w="1904" w:type="dxa"/>
          </w:tcPr>
          <w:p>
            <w:pPr>
              <w:spacing w:line="500" w:lineRule="exact"/>
              <w:ind w:firstLine="2"/>
              <w:jc w:val="center"/>
              <w:rPr>
                <w:rFonts w:ascii="仿宋" w:hAnsi="仿宋" w:eastAsia="仿宋" w:cs="仿宋_GB2312"/>
                <w:bCs/>
                <w:sz w:val="24"/>
                <w:szCs w:val="24"/>
              </w:rPr>
            </w:pPr>
            <w:r>
              <w:rPr>
                <w:rFonts w:ascii="仿宋" w:hAnsi="仿宋" w:eastAsia="仿宋" w:cs="仿宋_GB2312"/>
                <w:bCs/>
                <w:sz w:val="24"/>
                <w:szCs w:val="24"/>
              </w:rPr>
              <w:t>18</w:t>
            </w:r>
            <w:r>
              <w:rPr>
                <w:rFonts w:hint="eastAsia" w:ascii="仿宋" w:hAnsi="仿宋" w:eastAsia="仿宋" w:cs="仿宋_GB2312"/>
                <w:bCs/>
                <w:sz w:val="24"/>
                <w:szCs w:val="24"/>
              </w:rPr>
              <w:t>（</w:t>
            </w:r>
            <w:r>
              <w:rPr>
                <w:rFonts w:ascii="仿宋" w:hAnsi="仿宋" w:eastAsia="仿宋" w:cs="仿宋_GB2312"/>
                <w:bCs/>
                <w:sz w:val="24"/>
                <w:szCs w:val="24"/>
              </w:rPr>
              <w:t>20</w:t>
            </w:r>
            <w:r>
              <w:rPr>
                <w:rFonts w:hint="eastAsia" w:ascii="仿宋" w:hAnsi="仿宋" w:eastAsia="仿宋" w:cs="仿宋_GB2312"/>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30" w:type="dxa"/>
          </w:tcPr>
          <w:p>
            <w:pPr>
              <w:spacing w:line="500" w:lineRule="exact"/>
              <w:ind w:firstLine="2"/>
              <w:jc w:val="center"/>
              <w:rPr>
                <w:rFonts w:ascii="仿宋" w:hAnsi="仿宋" w:eastAsia="仿宋" w:cs="仿宋_GB2312"/>
                <w:bCs/>
                <w:sz w:val="24"/>
                <w:szCs w:val="24"/>
              </w:rPr>
            </w:pPr>
            <w:r>
              <w:rPr>
                <w:rFonts w:ascii="仿宋" w:hAnsi="仿宋" w:eastAsia="仿宋" w:cs="仿宋_GB2312"/>
                <w:bCs/>
                <w:sz w:val="24"/>
                <w:szCs w:val="24"/>
              </w:rPr>
              <w:t>4</w:t>
            </w:r>
          </w:p>
        </w:tc>
        <w:tc>
          <w:tcPr>
            <w:tcW w:w="3101" w:type="dxa"/>
          </w:tcPr>
          <w:p>
            <w:pPr>
              <w:spacing w:line="500" w:lineRule="exact"/>
              <w:ind w:firstLine="2"/>
              <w:jc w:val="center"/>
              <w:rPr>
                <w:rFonts w:ascii="仿宋" w:hAnsi="仿宋" w:eastAsia="仿宋" w:cs="仿宋_GB2312"/>
                <w:bCs/>
                <w:sz w:val="24"/>
                <w:szCs w:val="24"/>
              </w:rPr>
            </w:pPr>
            <w:r>
              <w:rPr>
                <w:rFonts w:hint="eastAsia" w:ascii="仿宋" w:hAnsi="仿宋" w:eastAsia="仿宋" w:cs="仿宋_GB2312"/>
                <w:bCs/>
                <w:sz w:val="24"/>
                <w:szCs w:val="24"/>
              </w:rPr>
              <w:t>专业技能课</w:t>
            </w:r>
          </w:p>
        </w:tc>
        <w:tc>
          <w:tcPr>
            <w:tcW w:w="2385" w:type="dxa"/>
          </w:tcPr>
          <w:p>
            <w:pPr>
              <w:spacing w:line="500" w:lineRule="exact"/>
              <w:ind w:firstLine="2"/>
              <w:jc w:val="center"/>
              <w:rPr>
                <w:rFonts w:ascii="仿宋" w:hAnsi="仿宋" w:eastAsia="仿宋" w:cs="仿宋_GB2312"/>
                <w:bCs/>
                <w:sz w:val="24"/>
                <w:szCs w:val="24"/>
              </w:rPr>
            </w:pPr>
            <w:r>
              <w:rPr>
                <w:rFonts w:ascii="仿宋" w:hAnsi="仿宋" w:eastAsia="仿宋" w:cs="仿宋_GB2312"/>
                <w:bCs/>
                <w:sz w:val="24"/>
                <w:szCs w:val="24"/>
              </w:rPr>
              <w:t>1</w:t>
            </w:r>
            <w:r>
              <w:rPr>
                <w:rFonts w:hint="eastAsia" w:ascii="仿宋" w:hAnsi="仿宋" w:eastAsia="仿宋" w:cs="仿宋_GB2312"/>
                <w:bCs/>
                <w:sz w:val="24"/>
                <w:szCs w:val="24"/>
              </w:rPr>
              <w:t>：</w:t>
            </w:r>
            <w:r>
              <w:rPr>
                <w:rFonts w:ascii="仿宋" w:hAnsi="仿宋" w:eastAsia="仿宋" w:cs="仿宋_GB2312"/>
                <w:bCs/>
                <w:sz w:val="24"/>
                <w:szCs w:val="24"/>
              </w:rPr>
              <w:t>18</w:t>
            </w:r>
            <w:r>
              <w:rPr>
                <w:rFonts w:hint="eastAsia" w:ascii="仿宋" w:hAnsi="仿宋" w:eastAsia="仿宋" w:cs="仿宋_GB2312"/>
                <w:bCs/>
                <w:sz w:val="24"/>
                <w:szCs w:val="24"/>
              </w:rPr>
              <w:t>（</w:t>
            </w:r>
            <w:r>
              <w:rPr>
                <w:rFonts w:ascii="仿宋" w:hAnsi="仿宋" w:eastAsia="仿宋" w:cs="仿宋_GB2312"/>
                <w:bCs/>
                <w:sz w:val="24"/>
                <w:szCs w:val="24"/>
              </w:rPr>
              <w:t>20</w:t>
            </w:r>
            <w:r>
              <w:rPr>
                <w:rFonts w:hint="eastAsia" w:ascii="仿宋" w:hAnsi="仿宋" w:eastAsia="仿宋" w:cs="仿宋_GB2312"/>
                <w:bCs/>
                <w:sz w:val="24"/>
                <w:szCs w:val="24"/>
              </w:rPr>
              <w:t>）</w:t>
            </w:r>
          </w:p>
        </w:tc>
        <w:tc>
          <w:tcPr>
            <w:tcW w:w="1904" w:type="dxa"/>
          </w:tcPr>
          <w:p>
            <w:pPr>
              <w:spacing w:line="500" w:lineRule="exact"/>
              <w:ind w:firstLine="2"/>
              <w:jc w:val="center"/>
              <w:rPr>
                <w:rFonts w:ascii="仿宋" w:hAnsi="仿宋" w:eastAsia="仿宋" w:cs="仿宋_GB2312"/>
                <w:bCs/>
                <w:sz w:val="24"/>
                <w:szCs w:val="24"/>
              </w:rPr>
            </w:pPr>
            <w:r>
              <w:rPr>
                <w:rFonts w:ascii="仿宋" w:hAnsi="仿宋" w:eastAsia="仿宋" w:cs="仿宋_GB2312"/>
                <w:bCs/>
                <w:sz w:val="24"/>
                <w:szCs w:val="24"/>
              </w:rPr>
              <w:t>18</w:t>
            </w:r>
            <w:r>
              <w:rPr>
                <w:rFonts w:hint="eastAsia" w:ascii="仿宋" w:hAnsi="仿宋" w:eastAsia="仿宋" w:cs="仿宋_GB2312"/>
                <w:bCs/>
                <w:sz w:val="24"/>
                <w:szCs w:val="24"/>
              </w:rPr>
              <w:t>（</w:t>
            </w:r>
            <w:r>
              <w:rPr>
                <w:rFonts w:ascii="仿宋" w:hAnsi="仿宋" w:eastAsia="仿宋" w:cs="仿宋_GB2312"/>
                <w:bCs/>
                <w:sz w:val="24"/>
                <w:szCs w:val="24"/>
              </w:rPr>
              <w:t>20</w:t>
            </w:r>
            <w:r>
              <w:rPr>
                <w:rFonts w:hint="eastAsia" w:ascii="仿宋" w:hAnsi="仿宋" w:eastAsia="仿宋" w:cs="仿宋_GB2312"/>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30" w:type="dxa"/>
          </w:tcPr>
          <w:p>
            <w:pPr>
              <w:spacing w:line="500" w:lineRule="exact"/>
              <w:ind w:firstLine="2"/>
              <w:jc w:val="center"/>
              <w:rPr>
                <w:rFonts w:ascii="仿宋" w:hAnsi="仿宋" w:eastAsia="仿宋" w:cs="仿宋_GB2312"/>
                <w:bCs/>
                <w:sz w:val="24"/>
                <w:szCs w:val="24"/>
              </w:rPr>
            </w:pPr>
            <w:r>
              <w:rPr>
                <w:rFonts w:ascii="仿宋" w:hAnsi="仿宋" w:eastAsia="仿宋" w:cs="仿宋_GB2312"/>
                <w:bCs/>
                <w:sz w:val="24"/>
                <w:szCs w:val="24"/>
              </w:rPr>
              <w:t>5</w:t>
            </w:r>
          </w:p>
        </w:tc>
        <w:tc>
          <w:tcPr>
            <w:tcW w:w="3101" w:type="dxa"/>
          </w:tcPr>
          <w:p>
            <w:pPr>
              <w:spacing w:line="500" w:lineRule="exact"/>
              <w:ind w:firstLine="2"/>
              <w:jc w:val="center"/>
              <w:rPr>
                <w:rFonts w:ascii="仿宋" w:hAnsi="仿宋" w:eastAsia="仿宋" w:cs="仿宋_GB2312"/>
                <w:bCs/>
                <w:sz w:val="24"/>
                <w:szCs w:val="24"/>
              </w:rPr>
            </w:pPr>
            <w:r>
              <w:rPr>
                <w:rFonts w:hint="eastAsia" w:ascii="仿宋" w:hAnsi="仿宋" w:eastAsia="仿宋" w:cs="仿宋_GB2312"/>
                <w:bCs/>
                <w:sz w:val="24"/>
                <w:szCs w:val="24"/>
              </w:rPr>
              <w:t>独立设置的实验课</w:t>
            </w:r>
          </w:p>
        </w:tc>
        <w:tc>
          <w:tcPr>
            <w:tcW w:w="2385" w:type="dxa"/>
          </w:tcPr>
          <w:p>
            <w:pPr>
              <w:spacing w:line="500" w:lineRule="exact"/>
              <w:ind w:firstLine="2"/>
              <w:jc w:val="center"/>
              <w:rPr>
                <w:rFonts w:ascii="仿宋" w:hAnsi="仿宋" w:eastAsia="仿宋" w:cs="仿宋_GB2312"/>
                <w:bCs/>
                <w:sz w:val="24"/>
                <w:szCs w:val="24"/>
              </w:rPr>
            </w:pPr>
            <w:r>
              <w:rPr>
                <w:rFonts w:ascii="仿宋" w:hAnsi="仿宋" w:eastAsia="仿宋" w:cs="仿宋_GB2312"/>
                <w:bCs/>
                <w:sz w:val="24"/>
                <w:szCs w:val="24"/>
              </w:rPr>
              <w:t>1</w:t>
            </w:r>
            <w:r>
              <w:rPr>
                <w:rFonts w:hint="eastAsia" w:ascii="仿宋" w:hAnsi="仿宋" w:eastAsia="仿宋" w:cs="仿宋_GB2312"/>
                <w:bCs/>
                <w:sz w:val="24"/>
                <w:szCs w:val="24"/>
              </w:rPr>
              <w:t>：</w:t>
            </w:r>
            <w:r>
              <w:rPr>
                <w:rFonts w:ascii="仿宋" w:hAnsi="仿宋" w:eastAsia="仿宋" w:cs="仿宋_GB2312"/>
                <w:bCs/>
                <w:sz w:val="24"/>
                <w:szCs w:val="24"/>
              </w:rPr>
              <w:t>18</w:t>
            </w:r>
            <w:r>
              <w:rPr>
                <w:rFonts w:hint="eastAsia" w:ascii="仿宋" w:hAnsi="仿宋" w:eastAsia="仿宋" w:cs="仿宋_GB2312"/>
                <w:bCs/>
                <w:sz w:val="24"/>
                <w:szCs w:val="24"/>
              </w:rPr>
              <w:t>（</w:t>
            </w:r>
            <w:r>
              <w:rPr>
                <w:rFonts w:ascii="仿宋" w:hAnsi="仿宋" w:eastAsia="仿宋" w:cs="仿宋_GB2312"/>
                <w:bCs/>
                <w:sz w:val="24"/>
                <w:szCs w:val="24"/>
              </w:rPr>
              <w:t>20</w:t>
            </w:r>
            <w:r>
              <w:rPr>
                <w:rFonts w:hint="eastAsia" w:ascii="仿宋" w:hAnsi="仿宋" w:eastAsia="仿宋" w:cs="仿宋_GB2312"/>
                <w:bCs/>
                <w:sz w:val="24"/>
                <w:szCs w:val="24"/>
              </w:rPr>
              <w:t>）</w:t>
            </w:r>
          </w:p>
        </w:tc>
        <w:tc>
          <w:tcPr>
            <w:tcW w:w="1904" w:type="dxa"/>
          </w:tcPr>
          <w:p>
            <w:pPr>
              <w:spacing w:line="500" w:lineRule="exact"/>
              <w:ind w:firstLine="2"/>
              <w:jc w:val="center"/>
              <w:rPr>
                <w:rFonts w:ascii="仿宋" w:hAnsi="仿宋" w:eastAsia="仿宋" w:cs="仿宋_GB2312"/>
                <w:bCs/>
                <w:sz w:val="24"/>
                <w:szCs w:val="24"/>
              </w:rPr>
            </w:pPr>
            <w:r>
              <w:rPr>
                <w:rFonts w:ascii="仿宋" w:hAnsi="仿宋" w:eastAsia="仿宋" w:cs="仿宋_GB2312"/>
                <w:bCs/>
                <w:sz w:val="24"/>
                <w:szCs w:val="24"/>
              </w:rPr>
              <w:t>18</w:t>
            </w:r>
            <w:r>
              <w:rPr>
                <w:rFonts w:hint="eastAsia" w:ascii="仿宋" w:hAnsi="仿宋" w:eastAsia="仿宋" w:cs="仿宋_GB2312"/>
                <w:bCs/>
                <w:sz w:val="24"/>
                <w:szCs w:val="24"/>
              </w:rPr>
              <w:t>（</w:t>
            </w:r>
            <w:r>
              <w:rPr>
                <w:rFonts w:ascii="仿宋" w:hAnsi="仿宋" w:eastAsia="仿宋" w:cs="仿宋_GB2312"/>
                <w:bCs/>
                <w:sz w:val="24"/>
                <w:szCs w:val="24"/>
              </w:rPr>
              <w:t>20</w:t>
            </w:r>
            <w:r>
              <w:rPr>
                <w:rFonts w:hint="eastAsia" w:ascii="仿宋" w:hAnsi="仿宋" w:eastAsia="仿宋" w:cs="仿宋_GB2312"/>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30" w:type="dxa"/>
          </w:tcPr>
          <w:p>
            <w:pPr>
              <w:spacing w:line="500" w:lineRule="exact"/>
              <w:ind w:firstLine="2"/>
              <w:jc w:val="center"/>
              <w:rPr>
                <w:rFonts w:ascii="仿宋" w:hAnsi="仿宋" w:eastAsia="仿宋" w:cs="仿宋_GB2312"/>
                <w:bCs/>
                <w:sz w:val="24"/>
                <w:szCs w:val="24"/>
              </w:rPr>
            </w:pPr>
            <w:r>
              <w:rPr>
                <w:rFonts w:ascii="仿宋" w:hAnsi="仿宋" w:eastAsia="仿宋" w:cs="仿宋_GB2312"/>
                <w:bCs/>
                <w:sz w:val="24"/>
                <w:szCs w:val="24"/>
              </w:rPr>
              <w:t>6</w:t>
            </w:r>
          </w:p>
        </w:tc>
        <w:tc>
          <w:tcPr>
            <w:tcW w:w="3101" w:type="dxa"/>
          </w:tcPr>
          <w:p>
            <w:pPr>
              <w:spacing w:line="500" w:lineRule="exact"/>
              <w:ind w:firstLine="2"/>
              <w:jc w:val="center"/>
              <w:rPr>
                <w:rFonts w:ascii="仿宋" w:hAnsi="仿宋" w:eastAsia="仿宋" w:cs="仿宋_GB2312"/>
                <w:bCs/>
                <w:sz w:val="24"/>
                <w:szCs w:val="24"/>
              </w:rPr>
            </w:pPr>
            <w:r>
              <w:rPr>
                <w:rFonts w:hint="eastAsia" w:ascii="仿宋" w:hAnsi="仿宋" w:eastAsia="仿宋" w:cs="仿宋_GB2312"/>
                <w:bCs/>
                <w:sz w:val="24"/>
                <w:szCs w:val="24"/>
              </w:rPr>
              <w:t>专业实践课</w:t>
            </w:r>
          </w:p>
        </w:tc>
        <w:tc>
          <w:tcPr>
            <w:tcW w:w="2385" w:type="dxa"/>
          </w:tcPr>
          <w:p>
            <w:pPr>
              <w:spacing w:line="500" w:lineRule="exact"/>
              <w:ind w:firstLine="2"/>
              <w:jc w:val="center"/>
              <w:rPr>
                <w:rFonts w:ascii="仿宋" w:hAnsi="仿宋" w:eastAsia="仿宋" w:cs="仿宋_GB2312"/>
                <w:bCs/>
                <w:sz w:val="24"/>
                <w:szCs w:val="24"/>
              </w:rPr>
            </w:pPr>
            <w:r>
              <w:rPr>
                <w:rFonts w:ascii="仿宋" w:hAnsi="仿宋" w:eastAsia="仿宋" w:cs="仿宋_GB2312"/>
                <w:bCs/>
                <w:sz w:val="24"/>
                <w:szCs w:val="24"/>
              </w:rPr>
              <w:t>1</w:t>
            </w:r>
            <w:r>
              <w:rPr>
                <w:rFonts w:hint="eastAsia" w:ascii="仿宋" w:hAnsi="仿宋" w:eastAsia="仿宋" w:cs="仿宋_GB2312"/>
                <w:bCs/>
                <w:sz w:val="24"/>
                <w:szCs w:val="24"/>
              </w:rPr>
              <w:t>：</w:t>
            </w:r>
            <w:r>
              <w:rPr>
                <w:rFonts w:ascii="仿宋" w:hAnsi="仿宋" w:eastAsia="仿宋" w:cs="仿宋_GB2312"/>
                <w:bCs/>
                <w:sz w:val="24"/>
                <w:szCs w:val="24"/>
              </w:rPr>
              <w:t>18</w:t>
            </w:r>
            <w:r>
              <w:rPr>
                <w:rFonts w:hint="eastAsia" w:ascii="仿宋" w:hAnsi="仿宋" w:eastAsia="仿宋" w:cs="仿宋_GB2312"/>
                <w:bCs/>
                <w:sz w:val="24"/>
                <w:szCs w:val="24"/>
              </w:rPr>
              <w:t>（</w:t>
            </w:r>
            <w:r>
              <w:rPr>
                <w:rFonts w:ascii="仿宋" w:hAnsi="仿宋" w:eastAsia="仿宋" w:cs="仿宋_GB2312"/>
                <w:bCs/>
                <w:sz w:val="24"/>
                <w:szCs w:val="24"/>
              </w:rPr>
              <w:t>20 / 40</w:t>
            </w:r>
            <w:r>
              <w:rPr>
                <w:rFonts w:hint="eastAsia" w:ascii="仿宋" w:hAnsi="仿宋" w:eastAsia="仿宋" w:cs="仿宋_GB2312"/>
                <w:bCs/>
                <w:sz w:val="24"/>
                <w:szCs w:val="24"/>
              </w:rPr>
              <w:t>）</w:t>
            </w:r>
          </w:p>
        </w:tc>
        <w:tc>
          <w:tcPr>
            <w:tcW w:w="1904" w:type="dxa"/>
          </w:tcPr>
          <w:p>
            <w:pPr>
              <w:spacing w:line="500" w:lineRule="exact"/>
              <w:ind w:firstLine="2"/>
              <w:jc w:val="center"/>
              <w:rPr>
                <w:rFonts w:ascii="仿宋" w:hAnsi="仿宋" w:eastAsia="仿宋" w:cs="仿宋_GB2312"/>
                <w:bCs/>
                <w:sz w:val="24"/>
                <w:szCs w:val="24"/>
              </w:rPr>
            </w:pPr>
            <w:r>
              <w:rPr>
                <w:rFonts w:ascii="仿宋" w:hAnsi="仿宋" w:eastAsia="仿宋" w:cs="仿宋_GB2312"/>
                <w:bCs/>
                <w:sz w:val="24"/>
                <w:szCs w:val="24"/>
              </w:rPr>
              <w:t>18</w:t>
            </w:r>
            <w:r>
              <w:rPr>
                <w:rFonts w:hint="eastAsia" w:ascii="仿宋" w:hAnsi="仿宋" w:eastAsia="仿宋" w:cs="仿宋_GB2312"/>
                <w:bCs/>
                <w:sz w:val="24"/>
                <w:szCs w:val="24"/>
              </w:rPr>
              <w:t>（</w:t>
            </w:r>
            <w:r>
              <w:rPr>
                <w:rFonts w:ascii="仿宋" w:hAnsi="仿宋" w:eastAsia="仿宋" w:cs="仿宋_GB2312"/>
                <w:bCs/>
                <w:sz w:val="24"/>
                <w:szCs w:val="24"/>
              </w:rPr>
              <w:t>20 / 40</w:t>
            </w:r>
            <w:r>
              <w:rPr>
                <w:rFonts w:hint="eastAsia" w:ascii="仿宋" w:hAnsi="仿宋" w:eastAsia="仿宋" w:cs="仿宋_GB2312"/>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0" w:type="dxa"/>
          </w:tcPr>
          <w:p>
            <w:pPr>
              <w:spacing w:line="500" w:lineRule="exact"/>
              <w:ind w:firstLine="2"/>
              <w:jc w:val="center"/>
              <w:rPr>
                <w:rFonts w:ascii="仿宋" w:hAnsi="仿宋" w:eastAsia="仿宋" w:cs="仿宋_GB2312"/>
                <w:bCs/>
                <w:sz w:val="24"/>
                <w:szCs w:val="24"/>
              </w:rPr>
            </w:pPr>
            <w:r>
              <w:rPr>
                <w:rFonts w:ascii="仿宋" w:hAnsi="仿宋" w:eastAsia="仿宋" w:cs="仿宋_GB2312"/>
                <w:bCs/>
                <w:sz w:val="24"/>
                <w:szCs w:val="24"/>
              </w:rPr>
              <w:t>7</w:t>
            </w:r>
          </w:p>
        </w:tc>
        <w:tc>
          <w:tcPr>
            <w:tcW w:w="3101" w:type="dxa"/>
          </w:tcPr>
          <w:p>
            <w:pPr>
              <w:spacing w:line="500" w:lineRule="exact"/>
              <w:ind w:firstLine="2"/>
              <w:jc w:val="center"/>
              <w:rPr>
                <w:rFonts w:ascii="仿宋" w:hAnsi="仿宋" w:eastAsia="仿宋" w:cs="仿宋_GB2312"/>
                <w:bCs/>
                <w:sz w:val="24"/>
                <w:szCs w:val="24"/>
              </w:rPr>
            </w:pPr>
            <w:r>
              <w:rPr>
                <w:rFonts w:hint="eastAsia" w:ascii="仿宋" w:hAnsi="仿宋" w:eastAsia="仿宋" w:cs="仿宋_GB2312"/>
                <w:bCs/>
                <w:sz w:val="24"/>
                <w:szCs w:val="24"/>
              </w:rPr>
              <w:t>第一学期的整学期课程</w:t>
            </w:r>
          </w:p>
        </w:tc>
        <w:tc>
          <w:tcPr>
            <w:tcW w:w="2385" w:type="dxa"/>
          </w:tcPr>
          <w:p>
            <w:pPr>
              <w:spacing w:line="500" w:lineRule="exact"/>
              <w:ind w:firstLine="2"/>
              <w:jc w:val="center"/>
              <w:rPr>
                <w:rFonts w:ascii="仿宋" w:hAnsi="仿宋" w:eastAsia="仿宋" w:cs="仿宋_GB2312"/>
                <w:bCs/>
                <w:sz w:val="24"/>
                <w:szCs w:val="24"/>
              </w:rPr>
            </w:pPr>
            <w:r>
              <w:rPr>
                <w:rFonts w:ascii="仿宋" w:hAnsi="仿宋" w:eastAsia="仿宋" w:cs="仿宋_GB2312"/>
                <w:bCs/>
                <w:sz w:val="24"/>
                <w:szCs w:val="24"/>
              </w:rPr>
              <w:t>1</w:t>
            </w:r>
            <w:r>
              <w:rPr>
                <w:rFonts w:hint="eastAsia" w:ascii="仿宋" w:hAnsi="仿宋" w:eastAsia="仿宋" w:cs="仿宋_GB2312"/>
                <w:bCs/>
                <w:sz w:val="24"/>
                <w:szCs w:val="24"/>
              </w:rPr>
              <w:t>：</w:t>
            </w:r>
            <w:r>
              <w:rPr>
                <w:rFonts w:ascii="仿宋" w:hAnsi="仿宋" w:eastAsia="仿宋" w:cs="仿宋_GB2312"/>
                <w:bCs/>
                <w:sz w:val="24"/>
                <w:szCs w:val="24"/>
              </w:rPr>
              <w:t>16</w:t>
            </w:r>
          </w:p>
        </w:tc>
        <w:tc>
          <w:tcPr>
            <w:tcW w:w="1904" w:type="dxa"/>
          </w:tcPr>
          <w:p>
            <w:pPr>
              <w:spacing w:line="500" w:lineRule="exact"/>
              <w:ind w:firstLine="2"/>
              <w:jc w:val="center"/>
              <w:rPr>
                <w:rFonts w:ascii="仿宋" w:hAnsi="仿宋" w:eastAsia="仿宋" w:cs="仿宋_GB2312"/>
                <w:bCs/>
                <w:sz w:val="24"/>
                <w:szCs w:val="24"/>
              </w:rPr>
            </w:pPr>
            <w:r>
              <w:rPr>
                <w:rFonts w:ascii="仿宋" w:hAnsi="仿宋" w:eastAsia="仿宋" w:cs="仿宋_GB2312"/>
                <w:bCs/>
                <w:sz w:val="24"/>
                <w:szCs w:val="24"/>
              </w:rPr>
              <w:t>16</w:t>
            </w:r>
          </w:p>
        </w:tc>
      </w:tr>
    </w:tbl>
    <w:p>
      <w:pPr>
        <w:spacing w:line="400" w:lineRule="exact"/>
        <w:rPr>
          <w:rFonts w:ascii="仿宋" w:hAnsi="仿宋" w:eastAsia="仿宋" w:cs="仿宋_GB2312"/>
          <w:bCs/>
          <w:sz w:val="24"/>
          <w:szCs w:val="24"/>
        </w:rPr>
      </w:pPr>
      <w:r>
        <w:rPr>
          <w:rFonts w:ascii="仿宋" w:hAnsi="仿宋" w:eastAsia="仿宋" w:cs="仿宋_GB2312"/>
          <w:bCs/>
          <w:sz w:val="24"/>
          <w:szCs w:val="24"/>
        </w:rPr>
        <w:t xml:space="preserve">    </w:t>
      </w:r>
      <w:r>
        <w:rPr>
          <w:rFonts w:hint="eastAsia" w:ascii="仿宋" w:hAnsi="仿宋" w:eastAsia="仿宋" w:cs="仿宋_GB2312"/>
          <w:bCs/>
          <w:sz w:val="24"/>
          <w:szCs w:val="24"/>
        </w:rPr>
        <w:t>注：由于表演类专业多为小课节并贯穿整学期的分散式教学（</w:t>
      </w:r>
      <w:r>
        <w:rPr>
          <w:rFonts w:ascii="仿宋" w:hAnsi="仿宋" w:eastAsia="仿宋" w:cs="仿宋_GB2312"/>
          <w:bCs/>
          <w:sz w:val="24"/>
          <w:szCs w:val="24"/>
        </w:rPr>
        <w:t>18</w:t>
      </w:r>
      <w:r>
        <w:rPr>
          <w:rFonts w:hint="eastAsia" w:ascii="仿宋" w:hAnsi="仿宋" w:eastAsia="仿宋" w:cs="仿宋_GB2312"/>
          <w:bCs/>
          <w:sz w:val="24"/>
          <w:szCs w:val="24"/>
        </w:rPr>
        <w:t>教学周），而造型类专业多为大课节的阶段性教学（</w:t>
      </w:r>
      <w:r>
        <w:rPr>
          <w:rFonts w:ascii="仿宋" w:hAnsi="仿宋" w:eastAsia="仿宋" w:cs="仿宋_GB2312"/>
          <w:bCs/>
          <w:sz w:val="24"/>
          <w:szCs w:val="24"/>
        </w:rPr>
        <w:t>20</w:t>
      </w:r>
      <w:r>
        <w:rPr>
          <w:rFonts w:hint="eastAsia" w:ascii="仿宋" w:hAnsi="仿宋" w:eastAsia="仿宋" w:cs="仿宋_GB2312"/>
          <w:bCs/>
          <w:sz w:val="24"/>
          <w:szCs w:val="24"/>
        </w:rPr>
        <w:t>节</w:t>
      </w:r>
      <w:r>
        <w:rPr>
          <w:rFonts w:ascii="仿宋" w:hAnsi="仿宋" w:eastAsia="仿宋" w:cs="仿宋_GB2312"/>
          <w:bCs/>
          <w:sz w:val="24"/>
          <w:szCs w:val="24"/>
        </w:rPr>
        <w:t>/</w:t>
      </w:r>
      <w:r>
        <w:rPr>
          <w:rFonts w:hint="eastAsia" w:ascii="仿宋" w:hAnsi="仿宋" w:eastAsia="仿宋" w:cs="仿宋_GB2312"/>
          <w:bCs/>
          <w:sz w:val="24"/>
          <w:szCs w:val="24"/>
        </w:rPr>
        <w:t>周）。因此，将各类属性课程的学分、学时比统一调整为</w:t>
      </w:r>
      <w:r>
        <w:rPr>
          <w:rFonts w:ascii="仿宋" w:hAnsi="仿宋" w:eastAsia="仿宋" w:cs="仿宋_GB2312"/>
          <w:bCs/>
          <w:sz w:val="24"/>
          <w:szCs w:val="24"/>
        </w:rPr>
        <w:t>1</w:t>
      </w:r>
      <w:r>
        <w:rPr>
          <w:rFonts w:hint="eastAsia" w:ascii="仿宋" w:hAnsi="仿宋" w:eastAsia="仿宋" w:cs="仿宋_GB2312"/>
          <w:bCs/>
          <w:sz w:val="24"/>
          <w:szCs w:val="24"/>
        </w:rPr>
        <w:t>：</w:t>
      </w:r>
      <w:r>
        <w:rPr>
          <w:rFonts w:ascii="仿宋" w:hAnsi="仿宋" w:eastAsia="仿宋" w:cs="仿宋_GB2312"/>
          <w:bCs/>
          <w:sz w:val="24"/>
          <w:szCs w:val="24"/>
        </w:rPr>
        <w:t>18</w:t>
      </w:r>
      <w:r>
        <w:rPr>
          <w:rFonts w:hint="eastAsia" w:ascii="仿宋" w:hAnsi="仿宋" w:eastAsia="仿宋" w:cs="仿宋_GB2312"/>
          <w:bCs/>
          <w:sz w:val="24"/>
          <w:szCs w:val="24"/>
        </w:rPr>
        <w:t>或</w:t>
      </w:r>
      <w:r>
        <w:rPr>
          <w:rFonts w:ascii="仿宋" w:hAnsi="仿宋" w:eastAsia="仿宋" w:cs="仿宋_GB2312"/>
          <w:bCs/>
          <w:sz w:val="24"/>
          <w:szCs w:val="24"/>
        </w:rPr>
        <w:t>1</w:t>
      </w:r>
      <w:r>
        <w:rPr>
          <w:rFonts w:hint="eastAsia" w:ascii="仿宋" w:hAnsi="仿宋" w:eastAsia="仿宋" w:cs="仿宋_GB2312"/>
          <w:bCs/>
          <w:sz w:val="24"/>
          <w:szCs w:val="24"/>
        </w:rPr>
        <w:t>：</w:t>
      </w:r>
      <w:r>
        <w:rPr>
          <w:rFonts w:ascii="仿宋" w:hAnsi="仿宋" w:eastAsia="仿宋" w:cs="仿宋_GB2312"/>
          <w:bCs/>
          <w:sz w:val="24"/>
          <w:szCs w:val="24"/>
        </w:rPr>
        <w:t>20</w:t>
      </w:r>
      <w:r>
        <w:rPr>
          <w:rFonts w:hint="eastAsia" w:ascii="仿宋" w:hAnsi="仿宋" w:eastAsia="仿宋" w:cs="仿宋_GB2312"/>
          <w:bCs/>
          <w:sz w:val="24"/>
          <w:szCs w:val="24"/>
        </w:rPr>
        <w:t>；“专业实践课”为集中实践教学，可在此基础上增加</w:t>
      </w:r>
      <w:r>
        <w:rPr>
          <w:rFonts w:ascii="仿宋" w:hAnsi="仿宋" w:eastAsia="仿宋" w:cs="仿宋_GB2312"/>
          <w:bCs/>
          <w:sz w:val="24"/>
          <w:szCs w:val="24"/>
        </w:rPr>
        <w:t>1</w:t>
      </w:r>
      <w:r>
        <w:rPr>
          <w:rFonts w:hint="eastAsia" w:ascii="仿宋" w:hAnsi="仿宋" w:eastAsia="仿宋" w:cs="仿宋_GB2312"/>
          <w:bCs/>
          <w:sz w:val="24"/>
          <w:szCs w:val="24"/>
        </w:rPr>
        <w:t>：</w:t>
      </w:r>
      <w:r>
        <w:rPr>
          <w:rFonts w:ascii="仿宋" w:hAnsi="仿宋" w:eastAsia="仿宋" w:cs="仿宋_GB2312"/>
          <w:bCs/>
          <w:sz w:val="24"/>
          <w:szCs w:val="24"/>
        </w:rPr>
        <w:t>40</w:t>
      </w:r>
      <w:r>
        <w:rPr>
          <w:rFonts w:hint="eastAsia" w:ascii="仿宋" w:hAnsi="仿宋" w:eastAsia="仿宋" w:cs="仿宋_GB2312"/>
          <w:bCs/>
          <w:sz w:val="24"/>
          <w:szCs w:val="24"/>
        </w:rPr>
        <w:t>的配比标准；由于新生第一学期的前两周有入学报到、入学教育等安排，从第三周才开始上课，因此，新生第一学期的分散式教学课程学分、学时比例可设置为</w:t>
      </w:r>
      <w:r>
        <w:rPr>
          <w:rFonts w:ascii="仿宋" w:hAnsi="仿宋" w:eastAsia="仿宋" w:cs="仿宋_GB2312"/>
          <w:bCs/>
          <w:sz w:val="24"/>
          <w:szCs w:val="24"/>
        </w:rPr>
        <w:t>1</w:t>
      </w:r>
      <w:r>
        <w:rPr>
          <w:rFonts w:hint="eastAsia" w:ascii="仿宋" w:hAnsi="仿宋" w:eastAsia="仿宋" w:cs="仿宋_GB2312"/>
          <w:bCs/>
          <w:sz w:val="24"/>
          <w:szCs w:val="24"/>
        </w:rPr>
        <w:t>：</w:t>
      </w:r>
      <w:r>
        <w:rPr>
          <w:rFonts w:ascii="仿宋" w:hAnsi="仿宋" w:eastAsia="仿宋" w:cs="仿宋_GB2312"/>
          <w:bCs/>
          <w:sz w:val="24"/>
          <w:szCs w:val="24"/>
        </w:rPr>
        <w:t>16</w:t>
      </w:r>
      <w:r>
        <w:rPr>
          <w:rFonts w:hint="eastAsia" w:ascii="仿宋" w:hAnsi="仿宋" w:eastAsia="仿宋" w:cs="仿宋_GB2312"/>
          <w:bCs/>
          <w:sz w:val="24"/>
          <w:szCs w:val="24"/>
        </w:rPr>
        <w:t>。</w:t>
      </w:r>
    </w:p>
    <w:p>
      <w:pPr>
        <w:spacing w:line="520" w:lineRule="exact"/>
        <w:ind w:firstLine="640" w:firstLineChars="200"/>
        <w:rPr>
          <w:rFonts w:ascii="楷体" w:hAnsi="楷体" w:eastAsia="楷体" w:cs="宋体"/>
          <w:sz w:val="32"/>
          <w:szCs w:val="32"/>
        </w:rPr>
      </w:pPr>
      <w:r>
        <w:rPr>
          <w:rFonts w:hint="eastAsia" w:ascii="楷体" w:hAnsi="楷体" w:eastAsia="楷体" w:cs="宋体"/>
          <w:sz w:val="32"/>
          <w:szCs w:val="32"/>
        </w:rPr>
        <w:t>（四）学期安排</w:t>
      </w:r>
    </w:p>
    <w:p>
      <w:p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每学年设置两个学期，每学期一般为20周，其中每学期教学18周，每学期公共必修课考试2周。</w:t>
      </w:r>
    </w:p>
    <w:p>
      <w:pPr>
        <w:numPr>
          <w:ilvl w:val="255"/>
          <w:numId w:val="0"/>
        </w:numPr>
        <w:spacing w:line="520" w:lineRule="exact"/>
        <w:ind w:firstLine="640" w:firstLineChars="200"/>
        <w:rPr>
          <w:rFonts w:ascii="仿宋" w:hAnsi="仿宋" w:eastAsia="仿宋" w:cs="宋体"/>
          <w:sz w:val="32"/>
          <w:szCs w:val="32"/>
        </w:rPr>
      </w:pPr>
    </w:p>
    <w:p>
      <w:pPr>
        <w:spacing w:line="520" w:lineRule="exact"/>
        <w:rPr>
          <w:rFonts w:ascii="仿宋" w:hAnsi="仿宋" w:eastAsia="仿宋" w:cs="仿宋_GB2312"/>
          <w:spacing w:val="-12"/>
          <w:sz w:val="32"/>
          <w:szCs w:val="32"/>
        </w:rPr>
      </w:pPr>
      <w:r>
        <w:rPr>
          <w:rFonts w:ascii="仿宋" w:hAnsi="仿宋" w:eastAsia="仿宋" w:cs="宋体"/>
          <w:sz w:val="32"/>
          <w:szCs w:val="32"/>
        </w:rPr>
        <w:t xml:space="preserve">  </w:t>
      </w:r>
      <w:r>
        <w:rPr>
          <w:rFonts w:ascii="仿宋" w:hAnsi="仿宋" w:eastAsia="仿宋"/>
          <w:spacing w:val="-20"/>
        </w:rPr>
        <w:t xml:space="preserve">  </w:t>
      </w:r>
      <w:r>
        <w:rPr>
          <w:rFonts w:hint="eastAsia" w:ascii="仿宋" w:hAnsi="仿宋" w:eastAsia="仿宋" w:cs="仿宋_GB2312"/>
          <w:spacing w:val="-20"/>
          <w:sz w:val="32"/>
          <w:szCs w:val="32"/>
        </w:rPr>
        <w:t>附件：</w:t>
      </w:r>
      <w:r>
        <w:rPr>
          <w:rFonts w:ascii="仿宋" w:hAnsi="仿宋" w:eastAsia="仿宋" w:cs="仿宋_GB2312"/>
          <w:spacing w:val="-12"/>
          <w:sz w:val="32"/>
          <w:szCs w:val="32"/>
        </w:rPr>
        <w:t>1</w:t>
      </w:r>
      <w:r>
        <w:rPr>
          <w:rFonts w:hint="eastAsia" w:ascii="仿宋" w:hAnsi="仿宋" w:eastAsia="仿宋" w:cs="仿宋_GB2312"/>
          <w:spacing w:val="-12"/>
          <w:sz w:val="32"/>
          <w:szCs w:val="32"/>
        </w:rPr>
        <w:t>、课程编号原则</w:t>
      </w:r>
    </w:p>
    <w:p>
      <w:pPr>
        <w:numPr>
          <w:ilvl w:val="0"/>
          <w:numId w:val="4"/>
        </w:numPr>
        <w:spacing w:line="520" w:lineRule="exact"/>
        <w:rPr>
          <w:rFonts w:ascii="仿宋" w:hAnsi="仿宋" w:eastAsia="仿宋" w:cs="仿宋_GB2312"/>
          <w:spacing w:val="-12"/>
          <w:sz w:val="32"/>
          <w:szCs w:val="32"/>
        </w:rPr>
      </w:pPr>
      <w:r>
        <w:rPr>
          <w:rFonts w:hint="eastAsia" w:ascii="仿宋" w:hAnsi="仿宋" w:eastAsia="仿宋" w:cs="仿宋_GB2312"/>
          <w:spacing w:val="-12"/>
          <w:sz w:val="32"/>
          <w:szCs w:val="32"/>
        </w:rPr>
        <w:t>专业方向人才培养方案范例模板</w:t>
      </w:r>
    </w:p>
    <w:p>
      <w:pPr>
        <w:numPr>
          <w:ilvl w:val="0"/>
          <w:numId w:val="4"/>
        </w:numPr>
        <w:spacing w:line="520" w:lineRule="exact"/>
        <w:rPr>
          <w:rFonts w:ascii="仿宋" w:hAnsi="仿宋" w:eastAsia="仿宋" w:cs="仿宋_GB2312"/>
          <w:spacing w:val="-12"/>
          <w:sz w:val="32"/>
          <w:szCs w:val="32"/>
        </w:rPr>
      </w:pPr>
      <w:r>
        <w:rPr>
          <w:rFonts w:hint="eastAsia" w:ascii="仿宋" w:hAnsi="仿宋" w:eastAsia="仿宋" w:cs="仿宋_GB2312"/>
          <w:spacing w:val="-12"/>
          <w:sz w:val="32"/>
          <w:szCs w:val="32"/>
        </w:rPr>
        <w:t>通识教育模块课程设置与《教学计划进程表》</w:t>
      </w:r>
      <w:r>
        <w:rPr>
          <w:rFonts w:ascii="仿宋" w:hAnsi="仿宋" w:eastAsia="仿宋" w:cs="仿宋_GB2312"/>
          <w:spacing w:val="-12"/>
          <w:sz w:val="32"/>
          <w:szCs w:val="32"/>
        </w:rPr>
        <w:t xml:space="preserve"> </w:t>
      </w:r>
      <w:r>
        <w:rPr>
          <w:rFonts w:hint="eastAsia" w:ascii="仿宋" w:hAnsi="仿宋" w:eastAsia="仿宋" w:cs="仿宋_GB2312"/>
          <w:spacing w:val="-12"/>
          <w:sz w:val="32"/>
          <w:szCs w:val="32"/>
        </w:rPr>
        <w:t>模版</w:t>
      </w:r>
    </w:p>
    <w:p>
      <w:pPr>
        <w:spacing w:line="520" w:lineRule="exact"/>
        <w:rPr>
          <w:rFonts w:ascii="仿宋" w:hAnsi="仿宋" w:eastAsia="仿宋" w:cs="仿宋_GB2312"/>
          <w:spacing w:val="-12"/>
          <w:sz w:val="32"/>
          <w:szCs w:val="32"/>
        </w:rPr>
      </w:pPr>
    </w:p>
    <w:p>
      <w:pPr>
        <w:spacing w:line="520" w:lineRule="exact"/>
        <w:rPr>
          <w:rFonts w:hint="eastAsia" w:ascii="仿宋" w:hAnsi="仿宋" w:eastAsia="仿宋" w:cs="仿宋_GB2312"/>
          <w:spacing w:val="-12"/>
          <w:sz w:val="32"/>
          <w:szCs w:val="32"/>
        </w:rPr>
      </w:pPr>
    </w:p>
    <w:p>
      <w:pPr>
        <w:spacing w:line="500" w:lineRule="exact"/>
        <w:ind w:right="560" w:firstLine="5120" w:firstLineChars="1600"/>
        <w:jc w:val="center"/>
        <w:rPr>
          <w:rFonts w:ascii="仿宋" w:hAnsi="仿宋" w:eastAsia="仿宋" w:cs="仿宋_GB2312"/>
          <w:sz w:val="32"/>
          <w:szCs w:val="32"/>
        </w:rPr>
      </w:pPr>
      <w:r>
        <w:rPr>
          <w:rFonts w:hint="eastAsia" w:ascii="仿宋" w:hAnsi="仿宋" w:eastAsia="仿宋" w:cs="仿宋_GB2312"/>
          <w:sz w:val="32"/>
          <w:szCs w:val="32"/>
        </w:rPr>
        <w:t>吉林艺术学院</w:t>
      </w:r>
    </w:p>
    <w:p>
      <w:pPr>
        <w:spacing w:line="500" w:lineRule="exact"/>
        <w:ind w:right="280" w:firstLine="4960" w:firstLineChars="1550"/>
        <w:jc w:val="center"/>
        <w:rPr>
          <w:rFonts w:ascii="仿宋" w:hAnsi="仿宋" w:eastAsia="仿宋" w:cs="仿宋_GB2312"/>
          <w:sz w:val="32"/>
          <w:szCs w:val="32"/>
        </w:rPr>
      </w:pPr>
      <w:r>
        <w:rPr>
          <w:rFonts w:ascii="仿宋" w:hAnsi="仿宋" w:eastAsia="仿宋" w:cs="仿宋_GB2312"/>
          <w:sz w:val="32"/>
          <w:szCs w:val="32"/>
        </w:rPr>
        <w:t>201</w:t>
      </w:r>
      <w:r>
        <w:rPr>
          <w:rFonts w:hint="eastAsia" w:ascii="仿宋" w:hAnsi="仿宋" w:eastAsia="仿宋" w:cs="仿宋_GB2312"/>
          <w:sz w:val="32"/>
          <w:szCs w:val="32"/>
        </w:rPr>
        <w:t>9年10月16日</w:t>
      </w:r>
    </w:p>
    <w:p>
      <w:pPr>
        <w:rPr>
          <w:rFonts w:ascii="仿宋" w:hAnsi="仿宋" w:eastAsia="仿宋" w:cs="Times New Roman"/>
          <w:sz w:val="32"/>
          <w:szCs w:val="32"/>
        </w:rPr>
        <w:sectPr>
          <w:footerReference r:id="rId5" w:type="first"/>
          <w:footerReference r:id="rId3" w:type="default"/>
          <w:footerReference r:id="rId4" w:type="even"/>
          <w:pgSz w:w="11906" w:h="16838"/>
          <w:pgMar w:top="1135" w:right="1588" w:bottom="1135" w:left="1588" w:header="851" w:footer="992" w:gutter="0"/>
          <w:pgNumType w:fmt="numberInDash" w:start="1"/>
          <w:cols w:space="720" w:num="1"/>
          <w:titlePg/>
          <w:docGrid w:type="lines" w:linePitch="312" w:charSpace="-886"/>
        </w:sectPr>
      </w:pPr>
    </w:p>
    <w:p>
      <w:pPr>
        <w:rPr>
          <w:rFonts w:ascii="仿宋" w:hAnsi="仿宋" w:eastAsia="仿宋" w:cs="仿宋_GB2312"/>
          <w:sz w:val="32"/>
          <w:szCs w:val="32"/>
        </w:rPr>
      </w:pPr>
      <w:r>
        <w:rPr>
          <w:rFonts w:hint="eastAsia" w:ascii="仿宋" w:hAnsi="仿宋" w:eastAsia="仿宋" w:cs="仿宋_GB2312"/>
          <w:sz w:val="32"/>
          <w:szCs w:val="32"/>
        </w:rPr>
        <w:t>附件</w:t>
      </w:r>
      <w:r>
        <w:rPr>
          <w:rFonts w:ascii="仿宋" w:hAnsi="仿宋" w:eastAsia="仿宋" w:cs="仿宋_GB2312"/>
          <w:sz w:val="32"/>
          <w:szCs w:val="32"/>
        </w:rPr>
        <w:t>1</w:t>
      </w:r>
      <w:r>
        <w:rPr>
          <w:rFonts w:hint="eastAsia" w:ascii="仿宋" w:hAnsi="仿宋" w:eastAsia="仿宋" w:cs="仿宋_GB2312"/>
          <w:sz w:val="32"/>
          <w:szCs w:val="32"/>
        </w:rPr>
        <w:t>：</w:t>
      </w:r>
    </w:p>
    <w:p>
      <w:pPr>
        <w:jc w:val="center"/>
        <w:rPr>
          <w:rFonts w:ascii="仿宋" w:hAnsi="仿宋" w:eastAsia="仿宋" w:cs="宋体"/>
          <w:b/>
          <w:sz w:val="36"/>
          <w:szCs w:val="36"/>
        </w:rPr>
      </w:pPr>
      <w:r>
        <w:rPr>
          <w:rFonts w:hint="eastAsia" w:ascii="仿宋" w:hAnsi="仿宋" w:eastAsia="仿宋" w:cs="宋体"/>
          <w:b/>
          <w:sz w:val="36"/>
          <w:szCs w:val="36"/>
        </w:rPr>
        <w:t>课程编号原则</w:t>
      </w:r>
    </w:p>
    <w:p>
      <w:pPr>
        <w:rPr>
          <w:rFonts w:ascii="仿宋" w:hAnsi="仿宋" w:eastAsia="仿宋" w:cs="宋体"/>
          <w:sz w:val="24"/>
          <w:szCs w:val="24"/>
        </w:rPr>
      </w:pPr>
    </w:p>
    <w:p>
      <w:pPr>
        <w:ind w:firstLine="632"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、所有课程均为</w:t>
      </w:r>
      <w:r>
        <w:rPr>
          <w:rFonts w:ascii="仿宋" w:hAnsi="仿宋" w:eastAsia="仿宋" w:cs="仿宋_GB2312"/>
          <w:sz w:val="32"/>
          <w:szCs w:val="32"/>
        </w:rPr>
        <w:t>6</w:t>
      </w:r>
      <w:r>
        <w:rPr>
          <w:rFonts w:hint="eastAsia" w:ascii="仿宋" w:hAnsi="仿宋" w:eastAsia="仿宋" w:cs="仿宋_GB2312"/>
          <w:sz w:val="32"/>
          <w:szCs w:val="32"/>
        </w:rPr>
        <w:t>位字符，以一个英文字母</w:t>
      </w:r>
      <w:r>
        <w:rPr>
          <w:rFonts w:ascii="仿宋" w:hAnsi="仿宋" w:eastAsia="仿宋" w:cs="仿宋_GB2312"/>
          <w:sz w:val="32"/>
          <w:szCs w:val="32"/>
        </w:rPr>
        <w:t>+</w:t>
      </w:r>
      <w:r>
        <w:rPr>
          <w:rFonts w:hint="eastAsia" w:ascii="仿宋" w:hAnsi="仿宋" w:eastAsia="仿宋" w:cs="仿宋_GB2312"/>
          <w:sz w:val="32"/>
          <w:szCs w:val="32"/>
        </w:rPr>
        <w:t>五位数字编号，格式和含义规定如下：</w:t>
      </w:r>
    </w:p>
    <w:p>
      <w:pPr>
        <w:ind w:firstLine="632" w:firstLineChars="20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1</w:t>
      </w:r>
      <w:r>
        <w:rPr>
          <w:rFonts w:hint="eastAsia" w:ascii="仿宋" w:hAnsi="仿宋" w:eastAsia="仿宋" w:cs="仿宋_GB2312"/>
          <w:sz w:val="32"/>
          <w:szCs w:val="32"/>
        </w:rPr>
        <w:t>）英文字母为教学单位代码，分别如下：</w:t>
      </w:r>
    </w:p>
    <w:p>
      <w:pPr>
        <w:ind w:firstLine="632" w:firstLineChars="200"/>
        <w:rPr>
          <w:rFonts w:ascii="仿宋" w:hAnsi="仿宋" w:eastAsia="仿宋" w:cs="仿宋_GB2312"/>
          <w:sz w:val="32"/>
          <w:szCs w:val="32"/>
        </w:rPr>
      </w:pPr>
      <w:r>
        <w:rPr>
          <w:rFonts w:ascii="仿宋" w:hAnsi="仿宋" w:eastAsia="仿宋" w:cs="仿宋_GB2312"/>
          <w:sz w:val="32"/>
          <w:szCs w:val="32"/>
        </w:rPr>
        <w:t>A-</w:t>
      </w:r>
      <w:r>
        <w:rPr>
          <w:rFonts w:hint="eastAsia" w:ascii="仿宋" w:hAnsi="仿宋" w:eastAsia="仿宋" w:cs="仿宋_GB2312"/>
          <w:sz w:val="32"/>
          <w:szCs w:val="32"/>
        </w:rPr>
        <w:t>教务处、</w:t>
      </w:r>
      <w:r>
        <w:rPr>
          <w:rFonts w:ascii="仿宋" w:hAnsi="仿宋" w:eastAsia="仿宋" w:cs="仿宋_GB2312"/>
          <w:sz w:val="32"/>
          <w:szCs w:val="32"/>
        </w:rPr>
        <w:t>B-</w:t>
      </w:r>
      <w:r>
        <w:rPr>
          <w:rFonts w:hint="eastAsia" w:ascii="仿宋" w:hAnsi="仿宋" w:eastAsia="仿宋" w:cs="仿宋_GB2312"/>
          <w:sz w:val="32"/>
          <w:szCs w:val="32"/>
        </w:rPr>
        <w:t>马克思主义学院及公共基础部、</w:t>
      </w:r>
      <w:r>
        <w:rPr>
          <w:rFonts w:ascii="仿宋" w:hAnsi="仿宋" w:eastAsia="仿宋" w:cs="仿宋_GB2312"/>
          <w:sz w:val="32"/>
          <w:szCs w:val="32"/>
        </w:rPr>
        <w:t>C-</w:t>
      </w:r>
      <w:r>
        <w:rPr>
          <w:rFonts w:hint="eastAsia" w:ascii="仿宋" w:hAnsi="仿宋" w:eastAsia="仿宋" w:cs="仿宋_GB2312"/>
          <w:sz w:val="32"/>
          <w:szCs w:val="32"/>
        </w:rPr>
        <w:t>音乐学院、</w:t>
      </w:r>
      <w:r>
        <w:rPr>
          <w:rFonts w:ascii="仿宋" w:hAnsi="仿宋" w:eastAsia="仿宋" w:cs="仿宋_GB2312"/>
          <w:sz w:val="32"/>
          <w:szCs w:val="32"/>
        </w:rPr>
        <w:t>D-</w:t>
      </w:r>
      <w:r>
        <w:rPr>
          <w:rFonts w:hint="eastAsia" w:ascii="仿宋" w:hAnsi="仿宋" w:eastAsia="仿宋" w:cs="仿宋_GB2312"/>
          <w:sz w:val="32"/>
          <w:szCs w:val="32"/>
        </w:rPr>
        <w:t>美术学院、</w:t>
      </w:r>
      <w:r>
        <w:rPr>
          <w:rFonts w:ascii="仿宋" w:hAnsi="仿宋" w:eastAsia="仿宋" w:cs="仿宋_GB2312"/>
          <w:sz w:val="32"/>
          <w:szCs w:val="32"/>
        </w:rPr>
        <w:t>E-</w:t>
      </w:r>
      <w:r>
        <w:rPr>
          <w:rFonts w:hint="eastAsia" w:ascii="仿宋" w:hAnsi="仿宋" w:eastAsia="仿宋" w:cs="仿宋_GB2312"/>
          <w:sz w:val="32"/>
          <w:szCs w:val="32"/>
        </w:rPr>
        <w:t>设计学院、</w:t>
      </w:r>
      <w:r>
        <w:rPr>
          <w:rFonts w:ascii="仿宋" w:hAnsi="仿宋" w:eastAsia="仿宋" w:cs="仿宋_GB2312"/>
          <w:sz w:val="32"/>
          <w:szCs w:val="32"/>
        </w:rPr>
        <w:t>F-</w:t>
      </w:r>
      <w:r>
        <w:rPr>
          <w:rFonts w:hint="eastAsia" w:ascii="仿宋" w:hAnsi="仿宋" w:eastAsia="仿宋" w:cs="仿宋_GB2312"/>
          <w:sz w:val="32"/>
          <w:szCs w:val="32"/>
        </w:rPr>
        <w:t>戏剧影视学院、</w:t>
      </w:r>
      <w:r>
        <w:rPr>
          <w:rFonts w:ascii="仿宋" w:hAnsi="仿宋" w:eastAsia="仿宋" w:cs="仿宋_GB2312"/>
          <w:sz w:val="32"/>
          <w:szCs w:val="32"/>
        </w:rPr>
        <w:t>G-</w:t>
      </w:r>
      <w:r>
        <w:rPr>
          <w:rFonts w:hint="eastAsia" w:ascii="仿宋" w:hAnsi="仿宋" w:eastAsia="仿宋" w:cs="仿宋_GB2312"/>
          <w:sz w:val="32"/>
          <w:szCs w:val="32"/>
        </w:rPr>
        <w:t>舞蹈学院、</w:t>
      </w:r>
      <w:r>
        <w:rPr>
          <w:rFonts w:ascii="仿宋" w:hAnsi="仿宋" w:eastAsia="仿宋" w:cs="仿宋_GB2312"/>
          <w:sz w:val="32"/>
          <w:szCs w:val="32"/>
        </w:rPr>
        <w:t>H-</w:t>
      </w:r>
      <w:r>
        <w:rPr>
          <w:rFonts w:hint="eastAsia" w:ascii="仿宋" w:hAnsi="仿宋" w:eastAsia="仿宋" w:cs="仿宋_GB2312"/>
          <w:sz w:val="32"/>
          <w:szCs w:val="32"/>
        </w:rPr>
        <w:t>艺术教育学院、</w:t>
      </w:r>
      <w:r>
        <w:rPr>
          <w:rFonts w:ascii="仿宋" w:hAnsi="仿宋" w:eastAsia="仿宋" w:cs="仿宋_GB2312"/>
          <w:sz w:val="32"/>
          <w:szCs w:val="32"/>
        </w:rPr>
        <w:t>I-</w:t>
      </w:r>
      <w:r>
        <w:rPr>
          <w:rFonts w:hint="eastAsia" w:ascii="仿宋" w:hAnsi="仿宋" w:eastAsia="仿宋" w:cs="仿宋_GB2312"/>
          <w:sz w:val="32"/>
          <w:szCs w:val="32"/>
        </w:rPr>
        <w:t>新媒体学院、</w:t>
      </w:r>
      <w:r>
        <w:rPr>
          <w:rFonts w:ascii="仿宋" w:hAnsi="仿宋" w:eastAsia="仿宋" w:cs="仿宋_GB2312"/>
          <w:sz w:val="32"/>
          <w:szCs w:val="32"/>
        </w:rPr>
        <w:t>J-</w:t>
      </w:r>
      <w:r>
        <w:rPr>
          <w:rFonts w:hint="eastAsia" w:ascii="仿宋" w:hAnsi="仿宋" w:eastAsia="仿宋" w:cs="仿宋_GB2312"/>
          <w:sz w:val="32"/>
          <w:szCs w:val="32"/>
        </w:rPr>
        <w:t>文化管理学院、</w:t>
      </w:r>
      <w:r>
        <w:rPr>
          <w:rFonts w:ascii="仿宋" w:hAnsi="仿宋" w:eastAsia="仿宋" w:cs="仿宋_GB2312"/>
          <w:sz w:val="32"/>
          <w:szCs w:val="32"/>
        </w:rPr>
        <w:t>K-</w:t>
      </w:r>
      <w:r>
        <w:rPr>
          <w:rFonts w:hint="eastAsia" w:ascii="仿宋" w:hAnsi="仿宋" w:eastAsia="仿宋" w:cs="仿宋_GB2312"/>
          <w:sz w:val="32"/>
          <w:szCs w:val="32"/>
        </w:rPr>
        <w:t>动漫学院、</w:t>
      </w:r>
      <w:r>
        <w:rPr>
          <w:rFonts w:ascii="仿宋" w:hAnsi="仿宋" w:eastAsia="仿宋" w:cs="仿宋_GB2312"/>
          <w:sz w:val="32"/>
          <w:szCs w:val="32"/>
        </w:rPr>
        <w:t>L-</w:t>
      </w:r>
      <w:r>
        <w:rPr>
          <w:rFonts w:hint="eastAsia" w:ascii="仿宋" w:hAnsi="仿宋" w:eastAsia="仿宋" w:cs="仿宋_GB2312"/>
          <w:sz w:val="32"/>
          <w:szCs w:val="32"/>
        </w:rPr>
        <w:t>流行音乐学院、</w:t>
      </w:r>
      <w:r>
        <w:rPr>
          <w:rFonts w:ascii="仿宋" w:hAnsi="仿宋" w:eastAsia="仿宋" w:cs="仿宋_GB2312"/>
          <w:sz w:val="32"/>
          <w:szCs w:val="32"/>
        </w:rPr>
        <w:t>M-</w:t>
      </w:r>
      <w:r>
        <w:rPr>
          <w:rFonts w:hint="eastAsia" w:ascii="仿宋" w:hAnsi="仿宋" w:eastAsia="仿宋" w:cs="仿宋_GB2312"/>
          <w:sz w:val="32"/>
          <w:szCs w:val="32"/>
        </w:rPr>
        <w:t>城市艺术学院、</w:t>
      </w:r>
      <w:r>
        <w:rPr>
          <w:rFonts w:ascii="仿宋" w:hAnsi="仿宋" w:eastAsia="仿宋" w:cs="仿宋_GB2312"/>
          <w:sz w:val="32"/>
          <w:szCs w:val="32"/>
        </w:rPr>
        <w:t>N-</w:t>
      </w:r>
      <w:r>
        <w:rPr>
          <w:rFonts w:hint="eastAsia" w:ascii="仿宋" w:hAnsi="仿宋" w:eastAsia="仿宋" w:cs="仿宋_GB2312"/>
          <w:sz w:val="32"/>
          <w:szCs w:val="32"/>
        </w:rPr>
        <w:t>戏曲学院；</w:t>
      </w:r>
    </w:p>
    <w:p>
      <w:pPr>
        <w:ind w:firstLine="632" w:firstLineChars="20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2</w:t>
      </w:r>
      <w:r>
        <w:rPr>
          <w:rFonts w:hint="eastAsia" w:ascii="仿宋" w:hAnsi="仿宋" w:eastAsia="仿宋" w:cs="仿宋_GB2312"/>
          <w:sz w:val="32"/>
          <w:szCs w:val="32"/>
        </w:rPr>
        <w:t>）第一位数字为专业（教研室）编号，具体编排由教学单位制定；</w:t>
      </w:r>
    </w:p>
    <w:p>
      <w:pPr>
        <w:ind w:firstLine="632" w:firstLineChars="20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3</w:t>
      </w:r>
      <w:r>
        <w:rPr>
          <w:rFonts w:hint="eastAsia" w:ascii="仿宋" w:hAnsi="仿宋" w:eastAsia="仿宋" w:cs="仿宋_GB2312"/>
          <w:sz w:val="32"/>
          <w:szCs w:val="32"/>
        </w:rPr>
        <w:t>）第二位数字为课程类别编号：</w:t>
      </w:r>
    </w:p>
    <w:p>
      <w:pPr>
        <w:ind w:firstLine="632" w:firstLineChars="200"/>
        <w:rPr>
          <w:rFonts w:ascii="仿宋" w:hAnsi="仿宋" w:eastAsia="仿宋" w:cs="仿宋_GB2312"/>
          <w:sz w:val="32"/>
          <w:szCs w:val="32"/>
        </w:rPr>
      </w:pPr>
      <w:r>
        <w:rPr>
          <w:rFonts w:ascii="仿宋" w:hAnsi="仿宋" w:eastAsia="仿宋" w:cs="仿宋_GB2312"/>
          <w:sz w:val="32"/>
          <w:szCs w:val="32"/>
        </w:rPr>
        <w:t>0-</w:t>
      </w:r>
      <w:r>
        <w:rPr>
          <w:rFonts w:hint="eastAsia" w:ascii="仿宋" w:hAnsi="仿宋" w:eastAsia="仿宋" w:cs="仿宋_GB2312"/>
          <w:sz w:val="32"/>
          <w:szCs w:val="32"/>
        </w:rPr>
        <w:t>公共基础课、</w:t>
      </w:r>
      <w:r>
        <w:rPr>
          <w:rFonts w:ascii="仿宋" w:hAnsi="仿宋" w:eastAsia="仿宋" w:cs="仿宋_GB2312"/>
          <w:sz w:val="32"/>
          <w:szCs w:val="32"/>
        </w:rPr>
        <w:t>1-</w:t>
      </w:r>
      <w:r>
        <w:rPr>
          <w:rFonts w:hint="eastAsia" w:ascii="仿宋" w:hAnsi="仿宋" w:eastAsia="仿宋" w:cs="仿宋_GB2312"/>
          <w:sz w:val="32"/>
          <w:szCs w:val="32"/>
        </w:rPr>
        <w:t>专业基础课、</w:t>
      </w:r>
      <w:r>
        <w:rPr>
          <w:rFonts w:ascii="仿宋" w:hAnsi="仿宋" w:eastAsia="仿宋" w:cs="仿宋_GB2312"/>
          <w:sz w:val="32"/>
          <w:szCs w:val="32"/>
        </w:rPr>
        <w:t>2-</w:t>
      </w:r>
      <w:r>
        <w:rPr>
          <w:rFonts w:hint="eastAsia" w:ascii="仿宋" w:hAnsi="仿宋" w:eastAsia="仿宋" w:cs="仿宋_GB2312"/>
          <w:sz w:val="32"/>
          <w:szCs w:val="32"/>
        </w:rPr>
        <w:t>专业方向课、</w:t>
      </w:r>
      <w:r>
        <w:rPr>
          <w:rFonts w:ascii="仿宋" w:hAnsi="仿宋" w:eastAsia="仿宋" w:cs="仿宋_GB2312"/>
          <w:sz w:val="32"/>
          <w:szCs w:val="32"/>
        </w:rPr>
        <w:t>3-</w:t>
      </w:r>
      <w:r>
        <w:rPr>
          <w:rFonts w:hint="eastAsia" w:ascii="仿宋" w:hAnsi="仿宋" w:eastAsia="仿宋" w:cs="仿宋_GB2312"/>
          <w:sz w:val="32"/>
          <w:szCs w:val="32"/>
        </w:rPr>
        <w:t>专业选修课、</w:t>
      </w:r>
      <w:r>
        <w:rPr>
          <w:rFonts w:ascii="仿宋" w:hAnsi="仿宋" w:eastAsia="仿宋" w:cs="仿宋_GB2312"/>
          <w:sz w:val="32"/>
          <w:szCs w:val="32"/>
        </w:rPr>
        <w:t>4-</w:t>
      </w:r>
      <w:r>
        <w:rPr>
          <w:rFonts w:hint="eastAsia" w:ascii="仿宋" w:hAnsi="仿宋" w:eastAsia="仿宋" w:cs="仿宋_GB2312"/>
          <w:sz w:val="32"/>
          <w:szCs w:val="32"/>
        </w:rPr>
        <w:t>院级选修课、</w:t>
      </w:r>
      <w:r>
        <w:rPr>
          <w:rFonts w:ascii="仿宋" w:hAnsi="仿宋" w:eastAsia="仿宋" w:cs="仿宋_GB2312"/>
          <w:sz w:val="32"/>
          <w:szCs w:val="32"/>
        </w:rPr>
        <w:t>5-</w:t>
      </w:r>
      <w:r>
        <w:rPr>
          <w:rFonts w:hint="eastAsia" w:ascii="仿宋" w:hAnsi="仿宋" w:eastAsia="仿宋" w:cs="仿宋_GB2312"/>
          <w:sz w:val="32"/>
          <w:szCs w:val="32"/>
        </w:rPr>
        <w:t>艺术实践、</w:t>
      </w:r>
      <w:r>
        <w:rPr>
          <w:rFonts w:ascii="仿宋" w:hAnsi="仿宋" w:eastAsia="仿宋" w:cs="仿宋_GB2312"/>
          <w:sz w:val="32"/>
          <w:szCs w:val="32"/>
        </w:rPr>
        <w:t>6-</w:t>
      </w:r>
      <w:r>
        <w:rPr>
          <w:rFonts w:hint="eastAsia" w:ascii="仿宋" w:hAnsi="仿宋" w:eastAsia="仿宋" w:cs="仿宋_GB2312"/>
          <w:sz w:val="32"/>
          <w:szCs w:val="32"/>
        </w:rPr>
        <w:t>实习实训类课程；</w:t>
      </w:r>
    </w:p>
    <w:p>
      <w:pPr>
        <w:ind w:firstLine="632" w:firstLineChars="20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4</w:t>
      </w:r>
      <w:r>
        <w:rPr>
          <w:rFonts w:hint="eastAsia" w:ascii="仿宋" w:hAnsi="仿宋" w:eastAsia="仿宋" w:cs="仿宋_GB2312"/>
          <w:sz w:val="32"/>
          <w:szCs w:val="32"/>
        </w:rPr>
        <w:t>）第三、四、五位数字为课程序号。</w:t>
      </w:r>
    </w:p>
    <w:p>
      <w:pPr>
        <w:rPr>
          <w:rFonts w:ascii="仿宋" w:hAnsi="仿宋" w:eastAsia="仿宋" w:cs="仿宋_GB2312"/>
          <w:sz w:val="32"/>
          <w:szCs w:val="32"/>
        </w:rPr>
      </w:pPr>
      <w:r>
        <w:rPr>
          <w:rFonts w:ascii="仿宋" w:hAnsi="仿宋" w:eastAsia="仿宋" w:cs="仿宋_GB2312"/>
          <w:sz w:val="32"/>
          <w:szCs w:val="32"/>
        </w:rPr>
        <w:t xml:space="preserve">    2</w:t>
      </w:r>
      <w:r>
        <w:rPr>
          <w:rFonts w:hint="eastAsia" w:ascii="仿宋" w:hAnsi="仿宋" w:eastAsia="仿宋" w:cs="仿宋_GB2312"/>
          <w:sz w:val="32"/>
          <w:szCs w:val="32"/>
        </w:rPr>
        <w:t>、同一名称的跨学期课，每学期为一门课，要分别编号，并在课程名称后面标罗马数字Ⅰ，Ⅱ，Ⅲ，Ⅳ……。</w:t>
      </w:r>
    </w:p>
    <w:p>
      <w:pPr>
        <w:ind w:firstLine="631"/>
        <w:rPr>
          <w:rFonts w:ascii="仿宋" w:hAnsi="仿宋" w:eastAsia="仿宋" w:cs="仿宋_GB2312"/>
          <w:sz w:val="32"/>
          <w:szCs w:val="32"/>
        </w:rPr>
      </w:pPr>
      <w:r>
        <w:rPr>
          <w:rFonts w:hint="eastAsia" w:ascii="仿宋" w:hAnsi="仿宋" w:eastAsia="仿宋" w:cs="仿宋_GB2312"/>
          <w:sz w:val="32"/>
          <w:szCs w:val="32"/>
        </w:rPr>
        <w:t>例如：</w:t>
      </w:r>
      <w:r>
        <w:rPr>
          <w:rFonts w:ascii="仿宋" w:hAnsi="仿宋" w:eastAsia="仿宋" w:cs="仿宋_GB2312"/>
          <w:sz w:val="32"/>
          <w:szCs w:val="32"/>
        </w:rPr>
        <w:t>A14001</w:t>
      </w:r>
      <w:r>
        <w:rPr>
          <w:rFonts w:hint="eastAsia" w:ascii="仿宋" w:hAnsi="仿宋" w:eastAsia="仿宋" w:cs="仿宋_GB2312"/>
          <w:sz w:val="32"/>
          <w:szCs w:val="32"/>
        </w:rPr>
        <w:t>《音乐鉴赏》表示教务处通识级选修课教研室开设的第一门院级选修课。</w:t>
      </w:r>
    </w:p>
    <w:p>
      <w:pPr>
        <w:widowControl/>
        <w:shd w:val="clear" w:color="auto" w:fill="FFFFFF"/>
        <w:adjustRightInd w:val="0"/>
        <w:spacing w:line="360" w:lineRule="auto"/>
        <w:jc w:val="center"/>
        <w:rPr>
          <w:rFonts w:ascii="仿宋" w:hAnsi="仿宋" w:eastAsia="仿宋" w:cs="仿宋"/>
          <w:sz w:val="32"/>
          <w:szCs w:val="32"/>
        </w:rPr>
      </w:pPr>
    </w:p>
    <w:sectPr>
      <w:footerReference r:id="rId8" w:type="first"/>
      <w:footerReference r:id="rId6" w:type="default"/>
      <w:footerReference r:id="rId7" w:type="even"/>
      <w:pgSz w:w="11906" w:h="16838"/>
      <w:pgMar w:top="2098" w:right="1474" w:bottom="283" w:left="1588" w:header="397" w:footer="1587" w:gutter="0"/>
      <w:pgNumType w:fmt="numberInDash" w:start="1"/>
      <w:cols w:space="0" w:num="1"/>
      <w:docGrid w:type="linesAndChars" w:linePitch="579"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粗宋简体">
    <w:altName w:val="宋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sz w:val="2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sz w:val="28"/>
                              <w:szCs w:val="28"/>
                            </w:rPr>
                            <w:t>- 13 -</w:t>
                          </w:r>
                          <w:r>
                            <w:rPr>
                              <w:rFonts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V&#10;Q38UtwEAAFQDAAAOAAAAAAAAAAEAIAAAAB4BAABkcnMvZTJvRG9jLnhtbFBLBQYAAAAABgAGAFkB&#10;AABHBQAAAAA=&#10;">
              <v:fill on="f" focussize="0,0"/>
              <v:stroke on="f"/>
              <v:imagedata o:title=""/>
              <o:lock v:ext="edit" aspectratio="f"/>
              <v:textbox inset="0mm,0mm,0mm,0mm" style="mso-fit-shape-to-text:t;">
                <w:txbxContent>
                  <w:p>
                    <w:pPr>
                      <w:snapToGrid w:val="0"/>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sz w:val="28"/>
                        <w:szCs w:val="28"/>
                      </w:rPr>
                      <w:t>- 13 -</w:t>
                    </w:r>
                    <w:r>
                      <w:rPr>
                        <w:rFonts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jc w:val="center"/>
      <w:rPr>
        <w:rFonts w:asci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sz w:val="28"/>
                              <w:szCs w:val="28"/>
                            </w:rPr>
                            <w:t>- 1 -</w:t>
                          </w:r>
                          <w:r>
                            <w:rPr>
                              <w:rFonts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ffKgrrgBAABUAwAADgAAAAAAAAABACAAAAAeAQAAZHJzL2Uyb0RvYy54bWxQSwUGAAAAAAYABgBZ&#10;AQAASAUAAAAA&#10;">
              <v:fill on="f" focussize="0,0"/>
              <v:stroke on="f"/>
              <v:imagedata o:title=""/>
              <o:lock v:ext="edit" aspectratio="f"/>
              <v:textbox inset="0mm,0mm,0mm,0mm" style="mso-fit-shape-to-text:t;">
                <w:txbxContent>
                  <w:p>
                    <w:pPr>
                      <w:snapToGrid w:val="0"/>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sz w:val="28"/>
                        <w:szCs w:val="28"/>
                      </w:rPr>
                      <w:t>- 1 -</w:t>
                    </w:r>
                    <w:r>
                      <w:rPr>
                        <w:rFonts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宋体" w:hAnsi="宋体" w:eastAsia="宋体"/>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76860" cy="180340"/>
              <wp:effectExtent l="1270" t="0" r="0"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6860" cy="180340"/>
                      </a:xfrm>
                      <a:prstGeom prst="rect">
                        <a:avLst/>
                      </a:prstGeom>
                      <a:noFill/>
                      <a:ln>
                        <a:noFill/>
                      </a:ln>
                    </wps:spPr>
                    <wps:txbx>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4.2pt;width:21.8pt;mso-position-horizontal:center;mso-position-horizontal-relative:margin;mso-wrap-style:none;z-index:251658240;mso-width-relative:page;mso-height-relative:page;" filled="f" stroked="f" coordsize="21600,21600" o:gfxdata="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Kc+&#10;ntIAAAADAQAADwAAAAAAAAABACAAAAAiAAAAZHJzL2Rvd25yZXYueG1sUEsBAhQAFAAAAAgAh07i&#10;QJvPZS3vAQAAtAMAAA4AAAAAAAAAAQAgAAAAIQEAAGRycy9lMm9Eb2MueG1sUEsFBgAAAAAGAAYA&#10;WQEAAIIFAAAAAA==&#10;">
              <v:fill on="f" focussize="0,0"/>
              <v:stroke on="f"/>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sBso8OgBAAC2&#10;AwAADgAAAAAAAAABACAAAAAeAQAAZHJzL2Uyb0RvYy54bWxQSwUGAAAAAAYABgBZAQAAeAUAAAAA&#10;">
              <v:fill on="f" focussize="0,0"/>
              <v:stroke on="f"/>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A2F9C7"/>
    <w:multiLevelType w:val="multilevel"/>
    <w:tmpl w:val="9AA2F9C7"/>
    <w:lvl w:ilvl="0" w:tentative="0">
      <w:start w:val="1"/>
      <w:numFmt w:val="upperLetter"/>
      <w:lvlText w:val="%1."/>
      <w:lvlJc w:val="left"/>
      <w:pPr>
        <w:tabs>
          <w:tab w:val="left" w:pos="312"/>
        </w:tabs>
        <w:ind w:left="640" w:firstLine="0"/>
      </w:pPr>
    </w:lvl>
    <w:lvl w:ilvl="1" w:tentative="0">
      <w:start w:val="1"/>
      <w:numFmt w:val="lowerLetter"/>
      <w:lvlText w:val="%2)"/>
      <w:lvlJc w:val="left"/>
      <w:pPr>
        <w:tabs>
          <w:tab w:val="left" w:pos="840"/>
        </w:tabs>
        <w:ind w:left="1480" w:hanging="420"/>
      </w:pPr>
      <w:rPr>
        <w:rFonts w:hint="default"/>
      </w:rPr>
    </w:lvl>
    <w:lvl w:ilvl="2" w:tentative="0">
      <w:start w:val="1"/>
      <w:numFmt w:val="lowerRoman"/>
      <w:lvlText w:val="%3."/>
      <w:lvlJc w:val="left"/>
      <w:pPr>
        <w:tabs>
          <w:tab w:val="left" w:pos="1260"/>
        </w:tabs>
        <w:ind w:left="1900" w:hanging="420"/>
      </w:pPr>
      <w:rPr>
        <w:rFonts w:hint="default"/>
      </w:rPr>
    </w:lvl>
    <w:lvl w:ilvl="3" w:tentative="0">
      <w:start w:val="1"/>
      <w:numFmt w:val="decimal"/>
      <w:lvlText w:val="%4."/>
      <w:lvlJc w:val="left"/>
      <w:pPr>
        <w:tabs>
          <w:tab w:val="left" w:pos="1680"/>
        </w:tabs>
        <w:ind w:left="2320" w:hanging="420"/>
      </w:pPr>
      <w:rPr>
        <w:rFonts w:hint="default"/>
      </w:rPr>
    </w:lvl>
    <w:lvl w:ilvl="4" w:tentative="0">
      <w:start w:val="1"/>
      <w:numFmt w:val="lowerLetter"/>
      <w:lvlText w:val="%5)"/>
      <w:lvlJc w:val="left"/>
      <w:pPr>
        <w:tabs>
          <w:tab w:val="left" w:pos="2100"/>
        </w:tabs>
        <w:ind w:left="2740" w:hanging="420"/>
      </w:pPr>
      <w:rPr>
        <w:rFonts w:hint="default"/>
      </w:rPr>
    </w:lvl>
    <w:lvl w:ilvl="5" w:tentative="0">
      <w:start w:val="1"/>
      <w:numFmt w:val="lowerRoman"/>
      <w:lvlText w:val="%6."/>
      <w:lvlJc w:val="left"/>
      <w:pPr>
        <w:tabs>
          <w:tab w:val="left" w:pos="2520"/>
        </w:tabs>
        <w:ind w:left="3160" w:hanging="420"/>
      </w:pPr>
      <w:rPr>
        <w:rFonts w:hint="default"/>
      </w:rPr>
    </w:lvl>
    <w:lvl w:ilvl="6" w:tentative="0">
      <w:start w:val="1"/>
      <w:numFmt w:val="decimal"/>
      <w:lvlText w:val="%7."/>
      <w:lvlJc w:val="left"/>
      <w:pPr>
        <w:tabs>
          <w:tab w:val="left" w:pos="2940"/>
        </w:tabs>
        <w:ind w:left="3580" w:hanging="420"/>
      </w:pPr>
      <w:rPr>
        <w:rFonts w:hint="default"/>
      </w:rPr>
    </w:lvl>
    <w:lvl w:ilvl="7" w:tentative="0">
      <w:start w:val="1"/>
      <w:numFmt w:val="lowerLetter"/>
      <w:lvlText w:val="%8)"/>
      <w:lvlJc w:val="left"/>
      <w:pPr>
        <w:tabs>
          <w:tab w:val="left" w:pos="3360"/>
        </w:tabs>
        <w:ind w:left="4000" w:hanging="420"/>
      </w:pPr>
      <w:rPr>
        <w:rFonts w:hint="default"/>
      </w:rPr>
    </w:lvl>
    <w:lvl w:ilvl="8" w:tentative="0">
      <w:start w:val="1"/>
      <w:numFmt w:val="lowerRoman"/>
      <w:lvlText w:val="%9."/>
      <w:lvlJc w:val="left"/>
      <w:pPr>
        <w:tabs>
          <w:tab w:val="left" w:pos="3780"/>
        </w:tabs>
        <w:ind w:left="4420" w:hanging="420"/>
      </w:pPr>
      <w:rPr>
        <w:rFonts w:hint="default"/>
      </w:rPr>
    </w:lvl>
  </w:abstractNum>
  <w:abstractNum w:abstractNumId="1">
    <w:nsid w:val="21175113"/>
    <w:multiLevelType w:val="singleLevel"/>
    <w:tmpl w:val="21175113"/>
    <w:lvl w:ilvl="0" w:tentative="0">
      <w:start w:val="2"/>
      <w:numFmt w:val="decimal"/>
      <w:suff w:val="nothing"/>
      <w:lvlText w:val="%1、"/>
      <w:lvlJc w:val="left"/>
      <w:pPr>
        <w:ind w:left="1360" w:firstLine="0"/>
      </w:pPr>
    </w:lvl>
  </w:abstractNum>
  <w:abstractNum w:abstractNumId="2">
    <w:nsid w:val="432CEAA5"/>
    <w:multiLevelType w:val="singleLevel"/>
    <w:tmpl w:val="432CEAA5"/>
    <w:lvl w:ilvl="0" w:tentative="0">
      <w:start w:val="1"/>
      <w:numFmt w:val="lowerLetter"/>
      <w:lvlText w:val="%1."/>
      <w:lvlJc w:val="left"/>
      <w:pPr>
        <w:tabs>
          <w:tab w:val="left" w:pos="312"/>
        </w:tabs>
      </w:pPr>
    </w:lvl>
  </w:abstractNum>
  <w:abstractNum w:abstractNumId="3">
    <w:nsid w:val="6228934B"/>
    <w:multiLevelType w:val="singleLevel"/>
    <w:tmpl w:val="6228934B"/>
    <w:lvl w:ilvl="0" w:tentative="0">
      <w:start w:val="4"/>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3"/>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95F"/>
    <w:rsid w:val="00012559"/>
    <w:rsid w:val="000731D1"/>
    <w:rsid w:val="000C2BCB"/>
    <w:rsid w:val="000D43BF"/>
    <w:rsid w:val="000E0607"/>
    <w:rsid w:val="00105FDF"/>
    <w:rsid w:val="001245F1"/>
    <w:rsid w:val="00187E40"/>
    <w:rsid w:val="00196445"/>
    <w:rsid w:val="001D777E"/>
    <w:rsid w:val="0022369E"/>
    <w:rsid w:val="002520E4"/>
    <w:rsid w:val="00256C84"/>
    <w:rsid w:val="00360E8C"/>
    <w:rsid w:val="00394DBE"/>
    <w:rsid w:val="00462C38"/>
    <w:rsid w:val="00470138"/>
    <w:rsid w:val="00476F8B"/>
    <w:rsid w:val="00490EF5"/>
    <w:rsid w:val="004E60BA"/>
    <w:rsid w:val="005364C6"/>
    <w:rsid w:val="0056134E"/>
    <w:rsid w:val="00580341"/>
    <w:rsid w:val="005B240E"/>
    <w:rsid w:val="00603AEB"/>
    <w:rsid w:val="00680E3B"/>
    <w:rsid w:val="006A55E7"/>
    <w:rsid w:val="007276B0"/>
    <w:rsid w:val="00765DE5"/>
    <w:rsid w:val="00787AF4"/>
    <w:rsid w:val="007A00BB"/>
    <w:rsid w:val="007A621C"/>
    <w:rsid w:val="007C7D66"/>
    <w:rsid w:val="007D2F41"/>
    <w:rsid w:val="007E4CC0"/>
    <w:rsid w:val="007F235B"/>
    <w:rsid w:val="0080495F"/>
    <w:rsid w:val="008163EF"/>
    <w:rsid w:val="00863AAB"/>
    <w:rsid w:val="008C2579"/>
    <w:rsid w:val="009674E6"/>
    <w:rsid w:val="00985652"/>
    <w:rsid w:val="009C760B"/>
    <w:rsid w:val="00A03DEE"/>
    <w:rsid w:val="00A9695A"/>
    <w:rsid w:val="00B0780E"/>
    <w:rsid w:val="00B3688C"/>
    <w:rsid w:val="00B432B3"/>
    <w:rsid w:val="00B9588C"/>
    <w:rsid w:val="00BA5078"/>
    <w:rsid w:val="00BD771E"/>
    <w:rsid w:val="00CE714B"/>
    <w:rsid w:val="00CE7D76"/>
    <w:rsid w:val="00D00461"/>
    <w:rsid w:val="00D0396B"/>
    <w:rsid w:val="00D503C4"/>
    <w:rsid w:val="00D932EF"/>
    <w:rsid w:val="00DE01B1"/>
    <w:rsid w:val="00E05E91"/>
    <w:rsid w:val="00E44547"/>
    <w:rsid w:val="00EA0B19"/>
    <w:rsid w:val="00F16064"/>
    <w:rsid w:val="00F42817"/>
    <w:rsid w:val="00FD7331"/>
    <w:rsid w:val="00FE4D74"/>
    <w:rsid w:val="228C2D6A"/>
    <w:rsid w:val="36A94256"/>
    <w:rsid w:val="55B9487A"/>
    <w:rsid w:val="5E1B63A1"/>
    <w:rsid w:val="6B2A6638"/>
    <w:rsid w:val="6D076A20"/>
    <w:rsid w:val="6DE70186"/>
    <w:rsid w:val="6F7B6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uiPriority w:val="9"/>
    <w:rPr>
      <w:rFonts w:ascii="宋体" w:hAnsi="宋体" w:eastAsia="宋体" w:cs="宋体"/>
      <w:b/>
      <w:bCs/>
      <w:kern w:val="36"/>
      <w:sz w:val="48"/>
      <w:szCs w:val="48"/>
    </w:rPr>
  </w:style>
  <w:style w:type="character" w:customStyle="1" w:styleId="10">
    <w:name w:val="ask-title"/>
    <w:basedOn w:val="8"/>
    <w:uiPriority w:val="0"/>
  </w:style>
  <w:style w:type="character" w:customStyle="1" w:styleId="11">
    <w:name w:val="批注框文本 字符"/>
    <w:basedOn w:val="8"/>
    <w:link w:val="3"/>
    <w:semiHidden/>
    <w:uiPriority w:val="99"/>
    <w:rPr>
      <w:sz w:val="18"/>
      <w:szCs w:val="18"/>
    </w:rPr>
  </w:style>
  <w:style w:type="character" w:customStyle="1" w:styleId="12">
    <w:name w:val="页眉 字符"/>
    <w:basedOn w:val="8"/>
    <w:link w:val="5"/>
    <w:uiPriority w:val="99"/>
    <w:rPr>
      <w:sz w:val="18"/>
      <w:szCs w:val="18"/>
    </w:rPr>
  </w:style>
  <w:style w:type="character" w:customStyle="1" w:styleId="13">
    <w:name w:val="页脚 字符"/>
    <w:basedOn w:val="8"/>
    <w:link w:val="4"/>
    <w:uiPriority w:val="99"/>
    <w:rPr>
      <w:sz w:val="18"/>
      <w:szCs w:val="18"/>
    </w:rPr>
  </w:style>
  <w:style w:type="character" w:customStyle="1" w:styleId="14">
    <w:name w:val="页脚 字符1"/>
    <w:basedOn w:val="8"/>
    <w:qFormat/>
    <w:uiPriority w:val="0"/>
    <w:rPr>
      <w:kern w:val="2"/>
      <w:sz w:val="18"/>
      <w:szCs w:val="18"/>
      <w:lang w:bidi="ar-SA"/>
    </w:rPr>
  </w:style>
  <w:style w:type="table" w:customStyle="1" w:styleId="15">
    <w:name w:val="网格型1"/>
    <w:basedOn w:val="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C240BA-3DC7-4754-B699-0CBE2C15ACC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1180</Words>
  <Characters>6728</Characters>
  <Lines>56</Lines>
  <Paragraphs>15</Paragraphs>
  <TotalTime>0</TotalTime>
  <ScaleCrop>false</ScaleCrop>
  <LinksUpToDate>false</LinksUpToDate>
  <CharactersWithSpaces>7893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2020-09-10T06:49:00Z</dcterms:created>
  <dc:creator>love0419</dc:creator>
  <cp:lastModifiedBy>ldd</cp:lastModifiedBy>
  <cp:lastPrinted>2020-09-10T06:49:00Z</cp:lastPrinted>
  <dcterms:modified xsi:type="dcterms:W3CDTF">2020-09-29T07:47:08Z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