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00" w:lineRule="exact"/>
        <w:ind w:left="0" w:leftChars="0"/>
        <w:jc w:val="center"/>
        <w:outlineLvl w:val="9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吉林艺术学院本科学年学分制实施方案</w:t>
      </w:r>
    </w:p>
    <w:p>
      <w:pPr>
        <w:pStyle w:val="6"/>
        <w:widowControl/>
        <w:spacing w:before="0" w:beforeAutospacing="0" w:after="0" w:afterAutospacing="0"/>
        <w:ind w:left="0" w:right="0"/>
        <w:jc w:val="center"/>
        <w:rPr>
          <w:rFonts w:hint="eastAsia" w:ascii="仿宋" w:hAnsi="仿宋" w:eastAsia="仿宋"/>
          <w:sz w:val="32"/>
          <w:szCs w:val="80"/>
        </w:rPr>
      </w:pP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吉艺发</w:t>
      </w:r>
      <w:r>
        <w:rPr>
          <w:rFonts w:hint="eastAsia" w:ascii="仿宋" w:hAnsi="仿宋" w:eastAsia="宋体" w:cs="宋体"/>
          <w:kern w:val="0"/>
          <w:sz w:val="30"/>
          <w:szCs w:val="30"/>
          <w:lang w:val="en-US" w:eastAsia="zh-CN" w:bidi="ar-SA"/>
        </w:rPr>
        <w:t>〔</w:t>
      </w: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201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宋体" w:cs="宋体"/>
          <w:kern w:val="0"/>
          <w:sz w:val="30"/>
          <w:szCs w:val="30"/>
          <w:lang w:val="en-US" w:eastAsia="zh-CN" w:bidi="ar-SA"/>
        </w:rPr>
        <w:t>〕7</w:t>
      </w:r>
      <w:r>
        <w:rPr>
          <w:rFonts w:hint="eastAsia" w:ascii="仿宋_GB2312" w:hAnsi="等线" w:eastAsia="仿宋_GB2312" w:cs="仿宋_GB2312"/>
          <w:kern w:val="0"/>
          <w:sz w:val="30"/>
          <w:szCs w:val="30"/>
          <w:lang w:val="en-US" w:eastAsia="zh-CN" w:bidi="ar-SA"/>
        </w:rPr>
        <w:t>2号</w:t>
      </w:r>
    </w:p>
    <w:p>
      <w:pPr>
        <w:wordWrap/>
        <w:adjustRightInd/>
        <w:snapToGrid/>
        <w:spacing w:line="500" w:lineRule="exact"/>
        <w:ind w:left="0" w:leftChars="0"/>
        <w:jc w:val="center"/>
        <w:outlineLvl w:val="9"/>
        <w:rPr>
          <w:rFonts w:ascii="黑体" w:hAnsi="黑体" w:eastAsia="黑体"/>
          <w:sz w:val="36"/>
          <w:szCs w:val="36"/>
        </w:rPr>
      </w:pP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为进一步深化教学改革，更充分、合理地利用现有教学资源，调动学生学习的自主性，提高学习效率，培养高素质、个性化、有特色的优秀毕业生，在原有学年制的基础上，根据学校的发展要求，特制定本实施方案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一、指导思想</w:t>
      </w:r>
    </w:p>
    <w:p>
      <w:pPr>
        <w:wordWrap/>
        <w:adjustRightInd/>
        <w:snapToGrid/>
        <w:spacing w:line="500" w:lineRule="exact"/>
        <w:ind w:left="0" w:leftChars="0" w:firstLine="720" w:firstLineChars="228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培养“知识面宽、基本功扎实、个性鲜明、素质全面、具有较强创新能力和实践能力的各类应用型高级专门艺术人才”为根本目标，发挥综合性艺术院校的办学优势，实施分类培养，注重学生个性特长，加强实践教学力度，培养自主学习能力。要通过充分论证广泛调研，深化教学改革，优化课程结构，改革教学内容和方法，进一步完善“艺术类专业实践性教学体系”，要与社会、经济与文化的建设发展趋向相适应，</w:t>
      </w:r>
      <w:r>
        <w:rPr>
          <w:rFonts w:hint="eastAsia" w:ascii="仿宋_GB2312" w:hAnsi="宋体" w:eastAsia="仿宋_GB2312"/>
          <w:sz w:val="32"/>
          <w:szCs w:val="32"/>
        </w:rPr>
        <w:t>进一步解放思想、与时俱进，更新教育观念，构建符合我校实际和现代高校教育规律的人才培养模式，努力体现以人为本、以学生为中心的现代教育理念，贯彻因材施教的教育原则，优化学生知识结构，在全面提高学生综合素质的基础上，培养个性化、多样化创新人才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二、目的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（一）提高学生素质和满足不同层次学生学习知识的要求。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（二）引导学生自我设计和选择成才方向，利于学生个性发展。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（三）调动教师与学生教和学的积极性，进一步提高教学质量。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（四）充分利用我校的各类教学资源，提高办学效益。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三、学制</w:t>
      </w:r>
    </w:p>
    <w:p>
      <w:p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雕塑专业学制为5年；其他专业学制为4年，弹性学习年限为4-6年。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四、学时学分换算</w:t>
      </w:r>
    </w:p>
    <w:p>
      <w:pPr>
        <w:numPr>
          <w:ilvl w:val="0"/>
          <w:numId w:val="1"/>
        </w:num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学分计算以0.5学分为最小值。</w:t>
      </w:r>
    </w:p>
    <w:p>
      <w:pPr>
        <w:numPr>
          <w:ilvl w:val="0"/>
          <w:numId w:val="1"/>
        </w:num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公共理论课程（实践环节除外）每18学时计1学分；</w:t>
      </w:r>
    </w:p>
    <w:p>
      <w:pPr>
        <w:numPr>
          <w:ilvl w:val="0"/>
          <w:numId w:val="1"/>
        </w:num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体育课分项教学每36学时（含实践环节）计1学分；</w:t>
      </w:r>
    </w:p>
    <w:p>
      <w:pPr>
        <w:numPr>
          <w:ilvl w:val="0"/>
          <w:numId w:val="1"/>
        </w:num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通识选修课每12学时计1学分；</w:t>
      </w:r>
    </w:p>
    <w:p>
      <w:pPr>
        <w:numPr>
          <w:ilvl w:val="0"/>
          <w:numId w:val="1"/>
        </w:num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每门开设课程的总学时原则上不应低于1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学时，低于1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学时的课程应以讲座、研讨等形式开课。</w:t>
      </w:r>
    </w:p>
    <w:p>
      <w:pPr>
        <w:spacing w:line="500" w:lineRule="exact"/>
        <w:ind w:firstLine="632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sz w:val="32"/>
          <w:szCs w:val="32"/>
        </w:rPr>
        <w:t>）毕业论文或毕业展演与毕业文案综述总计</w:t>
      </w: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学分；专业理论课、专业方向课、专业选修课等可以根据授课情况以</w:t>
      </w:r>
      <w:r>
        <w:rPr>
          <w:rFonts w:ascii="仿宋_GB2312" w:hAnsi="宋体" w:eastAsia="仿宋_GB2312" w:cs="宋体"/>
          <w:sz w:val="32"/>
          <w:szCs w:val="32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18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40</w:t>
      </w:r>
      <w:r>
        <w:rPr>
          <w:rFonts w:hint="eastAsia" w:ascii="仿宋_GB2312" w:hAnsi="宋体" w:eastAsia="仿宋_GB2312" w:cs="宋体"/>
          <w:sz w:val="32"/>
          <w:szCs w:val="32"/>
        </w:rPr>
        <w:t>课时折算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学分，具体参照以下专业课学分、学时配比配比表进行计算：</w:t>
      </w:r>
    </w:p>
    <w:tbl>
      <w:tblPr>
        <w:tblStyle w:val="7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01"/>
        <w:gridCol w:w="238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课程属性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学分、学时配比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学时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理论课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理论与技能结合课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课内实验课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专业技能课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独立设置的实验课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专业实践课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 / 40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20 / 40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0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第一学期的整学期课程</w:t>
            </w:r>
          </w:p>
        </w:tc>
        <w:tc>
          <w:tcPr>
            <w:tcW w:w="2385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1904" w:type="dxa"/>
          </w:tcPr>
          <w:p>
            <w:pPr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</w:tr>
    </w:tbl>
    <w:p>
      <w:pPr>
        <w:spacing w:line="480" w:lineRule="exact"/>
        <w:ind w:firstLine="2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注：由于表演类专业多为小课节并贯穿整学期的分散式教学（</w:t>
      </w:r>
      <w:r>
        <w:rPr>
          <w:rFonts w:ascii="仿宋_GB2312" w:hAnsi="仿宋_GB2312" w:eastAsia="仿宋_GB2312" w:cs="仿宋_GB2312"/>
          <w:bCs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教学周），而造型类专业多为大课节的阶段性教学（</w:t>
      </w:r>
      <w:r>
        <w:rPr>
          <w:rFonts w:ascii="仿宋_GB2312" w:hAnsi="仿宋_GB2312" w:eastAsia="仿宋_GB2312" w:cs="仿宋_GB2312"/>
          <w:bCs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节</w:t>
      </w:r>
      <w:r>
        <w:rPr>
          <w:rFonts w:ascii="仿宋_GB2312" w:hAnsi="仿宋_GB2312" w:eastAsia="仿宋_GB2312" w:cs="仿宋_GB2312"/>
          <w:bCs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周）。因此，将各类属性课程的学分、学时比统一调整为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</w:t>
      </w:r>
      <w:r>
        <w:rPr>
          <w:rFonts w:ascii="仿宋_GB2312" w:hAnsi="仿宋_GB2312" w:eastAsia="仿宋_GB2312" w:cs="仿宋_GB2312"/>
          <w:bCs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或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</w:t>
      </w:r>
      <w:r>
        <w:rPr>
          <w:rFonts w:ascii="仿宋_GB2312" w:hAnsi="仿宋_GB2312" w:eastAsia="仿宋_GB2312" w:cs="仿宋_GB2312"/>
          <w:bCs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；“专业实践课”为集中实践教学，可在此基础上增加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</w:t>
      </w:r>
      <w:r>
        <w:rPr>
          <w:rFonts w:ascii="仿宋_GB2312" w:hAnsi="仿宋_GB2312" w:eastAsia="仿宋_GB2312" w:cs="仿宋_GB2312"/>
          <w:bCs/>
          <w:sz w:val="24"/>
          <w:szCs w:val="24"/>
        </w:rPr>
        <w:t>40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的配比标准；由于新生第一学期的前两周有入学报到、入学教育等安排，从第三周才开始上课，因此，新生第一学期的分散式教学课程学分、学时比例可设置为</w:t>
      </w:r>
      <w:r>
        <w:rPr>
          <w:rFonts w:ascii="仿宋_GB2312" w:hAnsi="仿宋_GB2312" w:eastAsia="仿宋_GB2312" w:cs="仿宋_GB2312"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</w:t>
      </w:r>
      <w:r>
        <w:rPr>
          <w:rFonts w:ascii="仿宋_GB2312" w:hAnsi="仿宋_GB2312" w:eastAsia="仿宋_GB2312" w:cs="仿宋_GB2312"/>
          <w:bCs/>
          <w:sz w:val="24"/>
          <w:szCs w:val="24"/>
        </w:rPr>
        <w:t>16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 xml:space="preserve">五、学分具体分布 </w:t>
      </w:r>
    </w:p>
    <w:p>
      <w:pPr>
        <w:wordWrap/>
        <w:adjustRightInd/>
        <w:snapToGrid/>
        <w:spacing w:line="500" w:lineRule="exact"/>
        <w:ind w:left="0" w:leftChars="0" w:firstLine="632" w:firstLineChars="200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各专业毕业学分原则上应严格控制在160-200学分之间，各类课程学分结构应满足下表要求：</w:t>
      </w:r>
    </w:p>
    <w:p>
      <w:pPr>
        <w:wordWrap/>
        <w:adjustRightInd/>
        <w:snapToGrid/>
        <w:spacing w:line="500" w:lineRule="exact"/>
        <w:ind w:left="0" w:leftChars="0"/>
        <w:jc w:val="center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《吉林艺术学院四年制本科各类课程学分构成表》</w:t>
      </w:r>
    </w:p>
    <w:tbl>
      <w:tblPr>
        <w:tblStyle w:val="7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562"/>
        <w:gridCol w:w="2217"/>
        <w:gridCol w:w="992"/>
        <w:gridCol w:w="992"/>
        <w:gridCol w:w="1013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课程模块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课程分类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学分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学分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学分比例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通识级教育模块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公共必修课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通识教育课程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19.5%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大学生创业基础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大学生就业指导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军事理论教学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公共选修课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通识级任选课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专业教育模块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专业必修课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专业基础课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≥32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≤124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≤147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专业方向课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≤92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专业选修课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专业选修课程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≥8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≥8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艺术实践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艺术实践学分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毕业环节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毕业展演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毕业文案综述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毕业论文（仅对理论类专业要求）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9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         计</w:t>
            </w:r>
          </w:p>
        </w:tc>
        <w:tc>
          <w:tcPr>
            <w:tcW w:w="44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outlineLvl w:val="9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160≤总学分≤200</w:t>
            </w:r>
          </w:p>
        </w:tc>
      </w:tr>
    </w:tbl>
    <w:p>
      <w:pPr>
        <w:wordWrap/>
        <w:adjustRightInd/>
        <w:snapToGrid/>
        <w:spacing w:line="500" w:lineRule="exact"/>
        <w:ind w:left="0" w:leftChars="0" w:firstLine="552" w:firstLineChars="200"/>
        <w:outlineLvl w:val="9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注：对毕业环节的要求从2014级学生开始执行。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>六、课程修读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1、我校实施学年学分制，因此学生必须按培养方案规定的学年度教学计划参加教学活动。 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2、公共选修课是面向全校开设的选修课程，学生从第1学期开始选修，学生必须至少选修14学分。 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3、专业选修课由各分院开设，</w:t>
      </w:r>
      <w:r>
        <w:rPr>
          <w:rFonts w:hint="eastAsia" w:ascii="仿宋_GB2312" w:hAnsi="宋体" w:eastAsia="仿宋_GB2312" w:cs="宋体"/>
          <w:sz w:val="32"/>
          <w:szCs w:val="32"/>
        </w:rPr>
        <w:t>学生必须至少选修4门、8学分，多选不限但不可冲抵其他课程类别学分。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七、课程考核与成绩记载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我校课程考核分为考试与考查两种，具体考核与成绩记载方式详见《吉林艺术学院考试工作管理办法》。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八、本方案从2016级学生开始执行，由教务处负责解释。</w:t>
      </w: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宋体" w:hAnsi="宋体" w:eastAsia="宋体"/>
          <w:sz w:val="24"/>
          <w:szCs w:val="24"/>
        </w:rPr>
      </w:pP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宋体" w:hAnsi="宋体" w:eastAsia="宋体"/>
          <w:sz w:val="24"/>
          <w:szCs w:val="24"/>
        </w:rPr>
      </w:pPr>
    </w:p>
    <w:p>
      <w:pPr>
        <w:wordWrap/>
        <w:adjustRightInd/>
        <w:snapToGrid/>
        <w:spacing w:line="500" w:lineRule="exact"/>
        <w:ind w:left="0" w:leftChars="0"/>
        <w:outlineLvl w:val="9"/>
        <w:rPr>
          <w:rFonts w:ascii="宋体" w:hAnsi="宋体" w:eastAsia="宋体"/>
          <w:sz w:val="24"/>
          <w:szCs w:val="24"/>
        </w:rPr>
      </w:pPr>
    </w:p>
    <w:p>
      <w:pPr>
        <w:wordWrap/>
        <w:adjustRightInd/>
        <w:snapToGrid/>
        <w:spacing w:line="500" w:lineRule="exact"/>
        <w:ind w:left="0" w:leftChars="0" w:right="-58"/>
        <w:jc w:val="both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吉林艺术学院</w:t>
      </w:r>
    </w:p>
    <w:p>
      <w:pPr>
        <w:wordWrap/>
        <w:adjustRightInd/>
        <w:snapToGrid/>
        <w:spacing w:line="500" w:lineRule="exact"/>
        <w:ind w:left="0" w:leftChars="0" w:right="120" w:firstLine="4898" w:firstLineChars="1550"/>
        <w:jc w:val="right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2015年12月31日</w:t>
      </w:r>
    </w:p>
    <w:p>
      <w:pPr>
        <w:wordWrap/>
        <w:adjustRightInd/>
        <w:snapToGrid/>
        <w:spacing w:line="500" w:lineRule="exact"/>
        <w:ind w:left="0" w:leftChars="0" w:right="120" w:firstLine="6758" w:firstLineChars="1550"/>
        <w:jc w:val="right"/>
        <w:outlineLvl w:val="9"/>
        <w:rPr>
          <w:rFonts w:hint="eastAsia" w:ascii="方正小标宋简体" w:eastAsia="方正小标宋简体"/>
          <w:sz w:val="44"/>
          <w:szCs w:val="44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397" w:footer="1588" w:gutter="0"/>
      <w:pgNumType w:fmt="numberInDash" w:start="1"/>
      <w:cols w:space="720" w:num="1"/>
      <w:titlePg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1LW5q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dS1u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A9B3"/>
    <w:multiLevelType w:val="singleLevel"/>
    <w:tmpl w:val="5996A9B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5F"/>
    <w:rsid w:val="00012559"/>
    <w:rsid w:val="00031A79"/>
    <w:rsid w:val="000D43BF"/>
    <w:rsid w:val="000E0607"/>
    <w:rsid w:val="00105FDF"/>
    <w:rsid w:val="001245F1"/>
    <w:rsid w:val="00187E40"/>
    <w:rsid w:val="001D777E"/>
    <w:rsid w:val="0022369E"/>
    <w:rsid w:val="002520E4"/>
    <w:rsid w:val="00256C84"/>
    <w:rsid w:val="00360E8C"/>
    <w:rsid w:val="00394DBE"/>
    <w:rsid w:val="00462C38"/>
    <w:rsid w:val="00476F8B"/>
    <w:rsid w:val="00490EF5"/>
    <w:rsid w:val="004E60BA"/>
    <w:rsid w:val="0056134E"/>
    <w:rsid w:val="00580341"/>
    <w:rsid w:val="005B240E"/>
    <w:rsid w:val="00603AEB"/>
    <w:rsid w:val="0072132E"/>
    <w:rsid w:val="00765DE5"/>
    <w:rsid w:val="007A00BB"/>
    <w:rsid w:val="007A621C"/>
    <w:rsid w:val="007D2F41"/>
    <w:rsid w:val="007E4CC0"/>
    <w:rsid w:val="007F235B"/>
    <w:rsid w:val="0080495F"/>
    <w:rsid w:val="008163EF"/>
    <w:rsid w:val="008C2579"/>
    <w:rsid w:val="009674E6"/>
    <w:rsid w:val="00985652"/>
    <w:rsid w:val="00A03DEE"/>
    <w:rsid w:val="00A9695A"/>
    <w:rsid w:val="00B0780E"/>
    <w:rsid w:val="00B3688C"/>
    <w:rsid w:val="00B432B3"/>
    <w:rsid w:val="00BA5078"/>
    <w:rsid w:val="00BD771E"/>
    <w:rsid w:val="00CB14BE"/>
    <w:rsid w:val="00CE7D76"/>
    <w:rsid w:val="00D00461"/>
    <w:rsid w:val="00D0396B"/>
    <w:rsid w:val="00D503C4"/>
    <w:rsid w:val="00D932EF"/>
    <w:rsid w:val="00DE01B1"/>
    <w:rsid w:val="00E05E91"/>
    <w:rsid w:val="00E44547"/>
    <w:rsid w:val="00EA0B19"/>
    <w:rsid w:val="00F42817"/>
    <w:rsid w:val="00FE4D74"/>
    <w:rsid w:val="0CB87FDF"/>
    <w:rsid w:val="24B57C3A"/>
    <w:rsid w:val="25D5056C"/>
    <w:rsid w:val="27793372"/>
    <w:rsid w:val="3F29663D"/>
    <w:rsid w:val="77AC0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rPr>
      <w:sz w:val="24"/>
    </w:rPr>
  </w:style>
  <w:style w:type="character" w:styleId="9">
    <w:name w:val="page number"/>
    <w:basedOn w:val="8"/>
    <w:unhideWhenUsed/>
    <w:uiPriority w:val="0"/>
  </w:style>
  <w:style w:type="paragraph" w:customStyle="1" w:styleId="10">
    <w:name w:val="p0"/>
    <w:basedOn w:val="1"/>
    <w:uiPriority w:val="0"/>
    <w:pPr>
      <w:widowControl/>
      <w:spacing w:before="0" w:beforeAutospacing="0" w:after="0" w:afterAutospacing="0"/>
      <w:ind w:left="0" w:right="0"/>
      <w:jc w:val="both"/>
    </w:pPr>
    <w:rPr>
      <w:rFonts w:hint="eastAsia" w:ascii="等线" w:hAnsi="等线" w:eastAsia="宋体" w:cs="宋体"/>
      <w:kern w:val="0"/>
      <w:sz w:val="21"/>
      <w:szCs w:val="21"/>
      <w:lang w:val="en-US" w:eastAsia="zh-CN" w:bidi="ar-SA"/>
    </w:rPr>
  </w:style>
  <w:style w:type="character" w:customStyle="1" w:styleId="11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sk-title"/>
    <w:basedOn w:val="8"/>
    <w:uiPriority w:val="0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2017-04-10T01:49:00Z</dcterms:created>
  <dc:creator>love0419</dc:creator>
  <cp:lastModifiedBy>ldd</cp:lastModifiedBy>
  <cp:lastPrinted>2017-05-15T08:34:00Z</cp:lastPrinted>
  <dcterms:modified xsi:type="dcterms:W3CDTF">2020-09-29T07:43:19Z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